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D913" w14:textId="27479AB6" w:rsidR="00EC0995" w:rsidRDefault="00BC076D">
      <w:pPr>
        <w:rPr>
          <w:rtl/>
          <w:lang w:bidi="ar-AE"/>
        </w:rPr>
      </w:pPr>
      <w:r>
        <w:rPr>
          <w:noProof/>
          <w:rtl/>
          <w:lang w:val="ar-AE" w:bidi="ar-AE"/>
        </w:rPr>
        <w:drawing>
          <wp:anchor distT="0" distB="0" distL="114300" distR="114300" simplePos="0" relativeHeight="251658240" behindDoc="0" locked="0" layoutInCell="1" allowOverlap="1" wp14:anchorId="0106F3FD" wp14:editId="21B1404A">
            <wp:simplePos x="0" y="0"/>
            <wp:positionH relativeFrom="column">
              <wp:posOffset>-863600</wp:posOffset>
            </wp:positionH>
            <wp:positionV relativeFrom="paragraph">
              <wp:posOffset>50800</wp:posOffset>
            </wp:positionV>
            <wp:extent cx="7467600" cy="9690100"/>
            <wp:effectExtent l="0" t="0" r="0" b="6350"/>
            <wp:wrapNone/>
            <wp:docPr id="1149565409" name="Picture 1" descr="A close-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65409" name="Picture 1" descr="A close-up of a book&#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7467600" cy="9690100"/>
                    </a:xfrm>
                    <a:prstGeom prst="rect">
                      <a:avLst/>
                    </a:prstGeom>
                  </pic:spPr>
                </pic:pic>
              </a:graphicData>
            </a:graphic>
            <wp14:sizeRelH relativeFrom="margin">
              <wp14:pctWidth>0</wp14:pctWidth>
            </wp14:sizeRelH>
            <wp14:sizeRelV relativeFrom="margin">
              <wp14:pctHeight>0</wp14:pctHeight>
            </wp14:sizeRelV>
          </wp:anchor>
        </w:drawing>
      </w:r>
    </w:p>
    <w:p w14:paraId="38CAA065" w14:textId="77777777" w:rsidR="00BC076D" w:rsidRDefault="00BC076D">
      <w:pPr>
        <w:rPr>
          <w:rtl/>
          <w:lang w:bidi="ar-AE"/>
        </w:rPr>
      </w:pPr>
    </w:p>
    <w:p w14:paraId="2C0DB205" w14:textId="77777777" w:rsidR="00BC076D" w:rsidRDefault="00BC076D">
      <w:pPr>
        <w:rPr>
          <w:rtl/>
          <w:lang w:bidi="ar-AE"/>
        </w:rPr>
      </w:pPr>
    </w:p>
    <w:p w14:paraId="7003AEBC" w14:textId="77777777" w:rsidR="00BC076D" w:rsidRDefault="00BC076D">
      <w:pPr>
        <w:rPr>
          <w:rtl/>
          <w:lang w:bidi="ar-AE"/>
        </w:rPr>
      </w:pPr>
    </w:p>
    <w:p w14:paraId="0E4AA477" w14:textId="77777777" w:rsidR="00BC076D" w:rsidRDefault="00BC076D">
      <w:pPr>
        <w:rPr>
          <w:rtl/>
          <w:lang w:bidi="ar-AE"/>
        </w:rPr>
      </w:pPr>
    </w:p>
    <w:p w14:paraId="2DC7B5CC" w14:textId="77777777" w:rsidR="00BC076D" w:rsidRDefault="00BC076D">
      <w:pPr>
        <w:rPr>
          <w:rtl/>
          <w:lang w:bidi="ar-AE"/>
        </w:rPr>
      </w:pPr>
    </w:p>
    <w:p w14:paraId="5744AF19" w14:textId="77777777" w:rsidR="00BC076D" w:rsidRDefault="00BC076D">
      <w:pPr>
        <w:rPr>
          <w:rtl/>
          <w:lang w:bidi="ar-AE"/>
        </w:rPr>
      </w:pPr>
    </w:p>
    <w:p w14:paraId="3326E00D" w14:textId="77777777" w:rsidR="00BC076D" w:rsidRDefault="00BC076D">
      <w:pPr>
        <w:rPr>
          <w:rtl/>
          <w:lang w:bidi="ar-AE"/>
        </w:rPr>
      </w:pPr>
    </w:p>
    <w:p w14:paraId="1F0F4938" w14:textId="77777777" w:rsidR="00BC076D" w:rsidRDefault="00BC076D">
      <w:pPr>
        <w:rPr>
          <w:rtl/>
          <w:lang w:bidi="ar-AE"/>
        </w:rPr>
      </w:pPr>
    </w:p>
    <w:p w14:paraId="3AE7BF21" w14:textId="77777777" w:rsidR="00BC076D" w:rsidRDefault="00BC076D">
      <w:pPr>
        <w:rPr>
          <w:rtl/>
          <w:lang w:bidi="ar-AE"/>
        </w:rPr>
      </w:pPr>
    </w:p>
    <w:p w14:paraId="6A8731AC" w14:textId="77777777" w:rsidR="00BC076D" w:rsidRDefault="00BC076D">
      <w:pPr>
        <w:rPr>
          <w:rtl/>
          <w:lang w:bidi="ar-AE"/>
        </w:rPr>
      </w:pPr>
    </w:p>
    <w:p w14:paraId="3A4A2BC0" w14:textId="77777777" w:rsidR="00BC076D" w:rsidRDefault="00BC076D">
      <w:pPr>
        <w:rPr>
          <w:rtl/>
          <w:lang w:bidi="ar-AE"/>
        </w:rPr>
      </w:pPr>
    </w:p>
    <w:p w14:paraId="41304007" w14:textId="77777777" w:rsidR="00BC076D" w:rsidRDefault="00BC076D">
      <w:pPr>
        <w:rPr>
          <w:rtl/>
          <w:lang w:bidi="ar-AE"/>
        </w:rPr>
      </w:pPr>
    </w:p>
    <w:p w14:paraId="0EB040CB" w14:textId="77777777" w:rsidR="00BC076D" w:rsidRDefault="00BC076D">
      <w:pPr>
        <w:rPr>
          <w:rtl/>
          <w:lang w:bidi="ar-AE"/>
        </w:rPr>
      </w:pPr>
    </w:p>
    <w:p w14:paraId="47C261F7" w14:textId="77777777" w:rsidR="00BC076D" w:rsidRDefault="00BC076D">
      <w:pPr>
        <w:rPr>
          <w:rtl/>
          <w:lang w:bidi="ar-AE"/>
        </w:rPr>
      </w:pPr>
    </w:p>
    <w:p w14:paraId="1C125BA9" w14:textId="77777777" w:rsidR="00BC076D" w:rsidRDefault="00BC076D">
      <w:pPr>
        <w:rPr>
          <w:rtl/>
          <w:lang w:bidi="ar-AE"/>
        </w:rPr>
      </w:pPr>
    </w:p>
    <w:p w14:paraId="1C2CBEA6" w14:textId="77777777" w:rsidR="00BC076D" w:rsidRDefault="00BC076D">
      <w:pPr>
        <w:rPr>
          <w:rtl/>
          <w:lang w:bidi="ar-AE"/>
        </w:rPr>
      </w:pPr>
    </w:p>
    <w:p w14:paraId="763B119E" w14:textId="77777777" w:rsidR="00BC076D" w:rsidRDefault="00BC076D">
      <w:pPr>
        <w:rPr>
          <w:rtl/>
          <w:lang w:bidi="ar-AE"/>
        </w:rPr>
      </w:pPr>
    </w:p>
    <w:p w14:paraId="05C7B214" w14:textId="77777777" w:rsidR="00BC076D" w:rsidRDefault="00BC076D">
      <w:pPr>
        <w:rPr>
          <w:rtl/>
          <w:lang w:bidi="ar-AE"/>
        </w:rPr>
      </w:pPr>
    </w:p>
    <w:p w14:paraId="0AF95123" w14:textId="77777777" w:rsidR="00BC076D" w:rsidRDefault="00BC076D">
      <w:pPr>
        <w:rPr>
          <w:rtl/>
          <w:lang w:bidi="ar-AE"/>
        </w:rPr>
      </w:pPr>
    </w:p>
    <w:p w14:paraId="3A31F408" w14:textId="77777777" w:rsidR="00BC076D" w:rsidRDefault="00BC076D">
      <w:pPr>
        <w:rPr>
          <w:rtl/>
          <w:lang w:bidi="ar-AE"/>
        </w:rPr>
      </w:pPr>
    </w:p>
    <w:p w14:paraId="219995E2" w14:textId="77777777" w:rsidR="00BC076D" w:rsidRDefault="00BC076D">
      <w:pPr>
        <w:rPr>
          <w:rtl/>
          <w:lang w:bidi="ar-AE"/>
        </w:rPr>
      </w:pPr>
    </w:p>
    <w:p w14:paraId="55CB76AF" w14:textId="77777777" w:rsidR="00BC076D" w:rsidRDefault="00BC076D">
      <w:pPr>
        <w:rPr>
          <w:rtl/>
          <w:lang w:bidi="ar-AE"/>
        </w:rPr>
      </w:pPr>
    </w:p>
    <w:p w14:paraId="645CC5E4" w14:textId="77777777" w:rsidR="00BC076D" w:rsidRDefault="00BC076D">
      <w:pPr>
        <w:rPr>
          <w:rtl/>
          <w:lang w:bidi="ar-AE"/>
        </w:rPr>
      </w:pPr>
    </w:p>
    <w:p w14:paraId="3CF7BD53" w14:textId="77777777" w:rsidR="00BC076D" w:rsidRDefault="00BC076D">
      <w:pPr>
        <w:rPr>
          <w:rtl/>
          <w:lang w:bidi="ar-AE"/>
        </w:rPr>
      </w:pPr>
    </w:p>
    <w:p w14:paraId="7D2AC199" w14:textId="77777777" w:rsidR="00BC076D" w:rsidRDefault="00BC076D">
      <w:pPr>
        <w:rPr>
          <w:rtl/>
          <w:lang w:bidi="ar-AE"/>
        </w:rPr>
      </w:pPr>
    </w:p>
    <w:p w14:paraId="1EF97ADC" w14:textId="77777777" w:rsidR="00BC076D" w:rsidRDefault="00BC076D">
      <w:pPr>
        <w:rPr>
          <w:rtl/>
          <w:lang w:bidi="ar-AE"/>
        </w:rPr>
      </w:pPr>
    </w:p>
    <w:p w14:paraId="4BBFA46E" w14:textId="77777777" w:rsidR="00BC076D" w:rsidRDefault="00BC076D">
      <w:pPr>
        <w:rPr>
          <w:rtl/>
          <w:lang w:bidi="ar-AE"/>
        </w:rPr>
      </w:pPr>
    </w:p>
    <w:p w14:paraId="20F1AFAA" w14:textId="77777777" w:rsidR="00BC076D" w:rsidRDefault="00BC076D">
      <w:pPr>
        <w:rPr>
          <w:rtl/>
          <w:lang w:bidi="ar-AE"/>
        </w:rPr>
      </w:pPr>
    </w:p>
    <w:p w14:paraId="01FEB3CC" w14:textId="77777777" w:rsidR="00BC076D" w:rsidRDefault="00BC076D">
      <w:pPr>
        <w:rPr>
          <w:rtl/>
          <w:lang w:bidi="ar-AE"/>
        </w:rPr>
      </w:pPr>
    </w:p>
    <w:p w14:paraId="0E3AE82B" w14:textId="77777777" w:rsidR="00BC076D" w:rsidRDefault="00BC076D">
      <w:pPr>
        <w:rPr>
          <w:rtl/>
          <w:lang w:bidi="ar-AE"/>
        </w:rPr>
      </w:pPr>
    </w:p>
    <w:p w14:paraId="0D6C62D5" w14:textId="77777777" w:rsidR="00BC076D" w:rsidRDefault="00BC076D">
      <w:pPr>
        <w:rPr>
          <w:rtl/>
          <w:lang w:bidi="ar-AE"/>
        </w:rPr>
      </w:pPr>
    </w:p>
    <w:p w14:paraId="5DD549C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5A7D22D9"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وعلى العكس فإنه إذا زال سبب اتحاد الذمة دون أن ي</w:t>
      </w:r>
      <w:r>
        <w:rPr>
          <w:rFonts w:ascii="Simplified Arabic" w:eastAsia="Times New Roman" w:hAnsi="Simplified Arabic" w:cs="Simplified Arabic"/>
          <w:sz w:val="26"/>
          <w:szCs w:val="26"/>
          <w:rtl/>
          <w:lang w:val="en-AU" w:bidi="ar-AE"/>
        </w:rPr>
        <w:t>كون له أثر رجعي ، لا يعود الرهن</w:t>
      </w:r>
      <w:r w:rsidRPr="00B12278">
        <w:rPr>
          <w:rFonts w:ascii="Simplified Arabic" w:eastAsia="Times New Roman" w:hAnsi="Simplified Arabic" w:cs="Simplified Arabic"/>
          <w:sz w:val="26"/>
          <w:szCs w:val="26"/>
          <w:rtl/>
          <w:lang w:val="fr-FR" w:bidi="ar-EG"/>
        </w:rPr>
        <w:t xml:space="preserve"> </w:t>
      </w:r>
      <w:r>
        <w:rPr>
          <w:rFonts w:ascii="Simplified Arabic" w:eastAsia="Times New Roman" w:hAnsi="Simplified Arabic" w:cs="Simplified Arabic"/>
          <w:sz w:val="26"/>
          <w:szCs w:val="26"/>
          <w:rtl/>
          <w:lang w:val="fr-FR" w:bidi="ar-EG"/>
        </w:rPr>
        <w:t>ال</w:t>
      </w:r>
      <w:r>
        <w:rPr>
          <w:rFonts w:ascii="Simplified Arabic" w:eastAsia="Times New Roman" w:hAnsi="Simplified Arabic" w:cs="Simplified Arabic" w:hint="cs"/>
          <w:sz w:val="26"/>
          <w:szCs w:val="26"/>
          <w:rtl/>
          <w:lang w:val="fr-FR" w:bidi="ar-EG"/>
        </w:rPr>
        <w:t>تأميني</w:t>
      </w:r>
      <w:r w:rsidRPr="003459CA">
        <w:rPr>
          <w:rFonts w:ascii="Simplified Arabic" w:eastAsia="Times New Roman" w:hAnsi="Simplified Arabic" w:cs="Simplified Arabic"/>
          <w:sz w:val="26"/>
          <w:szCs w:val="26"/>
          <w:rtl/>
          <w:lang w:val="en-AU" w:bidi="ar-AE"/>
        </w:rPr>
        <w:t xml:space="preserve"> السابق انقضاؤه . كما هو الحال إذا ما زال الرهن نتيجة شراء الدائن المرتهن للعقار المرهون ، فاجتمعت فيه صفة المرتهن والراهن . فإذا هو عمد إلى بيع العقار المرهون فإنه ينتقل للمشتري مطهراً مما كان عليه من رهن،لأن زوال سبب انقضاء الرهن لاتحاد الذمة لم يكن له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ثر رجعي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w:t>
      </w:r>
    </w:p>
    <w:p w14:paraId="0DAED5D2"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074D9DDA" w14:textId="77777777" w:rsidR="00BC076D" w:rsidRPr="00016119" w:rsidRDefault="00BC076D" w:rsidP="00BC076D">
      <w:pPr>
        <w:bidi/>
        <w:spacing w:after="0" w:line="240" w:lineRule="auto"/>
        <w:jc w:val="center"/>
        <w:rPr>
          <w:rFonts w:ascii="Simplified Arabic" w:eastAsia="Times New Roman" w:hAnsi="Simplified Arabic" w:cs="Simplified Arabic"/>
          <w:b/>
          <w:bCs/>
          <w:sz w:val="30"/>
          <w:szCs w:val="30"/>
          <w:rtl/>
          <w:lang w:val="en-AU" w:bidi="ar-AE"/>
        </w:rPr>
      </w:pPr>
      <w:r w:rsidRPr="00016119">
        <w:rPr>
          <w:rFonts w:ascii="Simplified Arabic" w:eastAsia="Times New Roman" w:hAnsi="Simplified Arabic" w:cs="Simplified Arabic" w:hint="cs"/>
          <w:b/>
          <w:bCs/>
          <w:sz w:val="30"/>
          <w:szCs w:val="30"/>
          <w:rtl/>
          <w:lang w:val="en-AU" w:bidi="ar-AE"/>
        </w:rPr>
        <w:t>المطلب الثالث</w:t>
      </w:r>
    </w:p>
    <w:p w14:paraId="47AD6F63" w14:textId="77777777" w:rsidR="00BC076D" w:rsidRPr="00016119" w:rsidRDefault="00BC076D" w:rsidP="00BC076D">
      <w:pPr>
        <w:bidi/>
        <w:spacing w:after="0" w:line="240" w:lineRule="auto"/>
        <w:jc w:val="center"/>
        <w:rPr>
          <w:rFonts w:ascii="Simplified Arabic" w:eastAsia="Times New Roman" w:hAnsi="Simplified Arabic" w:cs="Simplified Arabic"/>
          <w:b/>
          <w:bCs/>
          <w:sz w:val="30"/>
          <w:szCs w:val="30"/>
          <w:rtl/>
          <w:lang w:val="en-AU" w:bidi="ar-AE"/>
        </w:rPr>
      </w:pPr>
      <w:r w:rsidRPr="00016119">
        <w:rPr>
          <w:rFonts w:ascii="Simplified Arabic" w:eastAsia="Times New Roman" w:hAnsi="Simplified Arabic" w:cs="Simplified Arabic" w:hint="cs"/>
          <w:b/>
          <w:bCs/>
          <w:sz w:val="30"/>
          <w:szCs w:val="30"/>
          <w:rtl/>
          <w:lang w:val="en-AU" w:bidi="ar-AE"/>
        </w:rPr>
        <w:t>أسباب انقضاء الرهن الـتأميني بدون الوفاء</w:t>
      </w:r>
    </w:p>
    <w:p w14:paraId="639715D5"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 xml:space="preserve">تمهيد : اتحدث في هذا المطلب عن ثلاثة </w:t>
      </w:r>
      <w:r w:rsidRPr="003459CA">
        <w:rPr>
          <w:rFonts w:ascii="Simplified Arabic" w:eastAsia="Times New Roman" w:hAnsi="Simplified Arabic" w:cs="Simplified Arabic" w:hint="cs"/>
          <w:sz w:val="26"/>
          <w:szCs w:val="26"/>
          <w:rtl/>
          <w:lang w:val="en-AU" w:bidi="ar-AE"/>
        </w:rPr>
        <w:t xml:space="preserve">أسباب </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hint="cs"/>
          <w:sz w:val="26"/>
          <w:szCs w:val="26"/>
          <w:rtl/>
          <w:lang w:val="en-AU" w:bidi="ar-AE"/>
        </w:rPr>
        <w:t xml:space="preserve">نقضاء </w:t>
      </w:r>
      <w:r>
        <w:rPr>
          <w:rFonts w:ascii="Simplified Arabic" w:eastAsia="Times New Roman" w:hAnsi="Simplified Arabic" w:cs="Simplified Arabic" w:hint="cs"/>
          <w:sz w:val="26"/>
          <w:szCs w:val="26"/>
          <w:rtl/>
          <w:lang w:val="en-AU" w:bidi="ar-AE"/>
        </w:rPr>
        <w:t>الرهن الـتأميني بدون الوفاء، من خلال ثلاثة فروع ،</w:t>
      </w: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hint="cs"/>
          <w:sz w:val="26"/>
          <w:szCs w:val="26"/>
          <w:rtl/>
          <w:lang w:val="en-AU" w:bidi="ar-AE"/>
        </w:rPr>
        <w:t xml:space="preserve"> على النحو التالي : </w:t>
      </w:r>
      <w:r>
        <w:rPr>
          <w:rFonts w:ascii="Simplified Arabic" w:eastAsia="Times New Roman" w:hAnsi="Simplified Arabic" w:cs="Simplified Arabic" w:hint="cs"/>
          <w:sz w:val="26"/>
          <w:szCs w:val="26"/>
          <w:rtl/>
          <w:lang w:val="en-AU" w:bidi="ar-AE"/>
        </w:rPr>
        <w:t xml:space="preserve"> 1 -</w:t>
      </w:r>
      <w:r w:rsidRPr="003459CA">
        <w:rPr>
          <w:rFonts w:ascii="Simplified Arabic" w:eastAsia="Times New Roman" w:hAnsi="Simplified Arabic" w:cs="Simplified Arabic" w:hint="cs"/>
          <w:sz w:val="26"/>
          <w:szCs w:val="26"/>
          <w:rtl/>
          <w:lang w:val="en-AU" w:bidi="ar-AE"/>
        </w:rPr>
        <w:t xml:space="preserve"> </w:t>
      </w:r>
      <w:r w:rsidRPr="00AA221A">
        <w:rPr>
          <w:rFonts w:ascii="Simplified Arabic" w:eastAsia="Times New Roman" w:hAnsi="Simplified Arabic" w:cs="Simplified Arabic"/>
          <w:sz w:val="26"/>
          <w:szCs w:val="26"/>
          <w:rtl/>
          <w:lang w:val="en-AU" w:bidi="ar-AE"/>
        </w:rPr>
        <w:t>انقضاء الرهن ب</w:t>
      </w:r>
      <w:r w:rsidRPr="003459CA">
        <w:rPr>
          <w:rFonts w:ascii="Simplified Arabic" w:eastAsia="Times New Roman" w:hAnsi="Simplified Arabic" w:cs="Simplified Arabic"/>
          <w:sz w:val="26"/>
          <w:szCs w:val="26"/>
          <w:rtl/>
          <w:lang w:val="en-AU" w:bidi="ar-AE"/>
        </w:rPr>
        <w:t>الإبراء من الدين</w:t>
      </w:r>
      <w:r w:rsidRPr="003459CA">
        <w:rPr>
          <w:rFonts w:ascii="Simplified Arabic" w:eastAsia="Times New Roman" w:hAnsi="Simplified Arabic" w:cs="Simplified Arabic"/>
          <w:sz w:val="26"/>
          <w:szCs w:val="26"/>
          <w:lang w:val="en-AU" w:bidi="ar-AE"/>
        </w:rPr>
        <w:t xml:space="preserve"> </w:t>
      </w:r>
      <w:r w:rsidRPr="003459CA">
        <w:rPr>
          <w:rFonts w:ascii="Simplified Arabic" w:eastAsia="Times New Roman" w:hAnsi="Simplified Arabic" w:cs="Simplified Arabic" w:hint="cs"/>
          <w:sz w:val="26"/>
          <w:szCs w:val="26"/>
          <w:rtl/>
          <w:lang w:val="en-AU" w:bidi="ar-AE"/>
        </w:rPr>
        <w:t xml:space="preserve"> </w:t>
      </w:r>
      <w:r>
        <w:rPr>
          <w:rFonts w:ascii="Simplified Arabic" w:eastAsia="Times New Roman" w:hAnsi="Simplified Arabic" w:cs="Simplified Arabic" w:hint="cs"/>
          <w:sz w:val="26"/>
          <w:szCs w:val="26"/>
          <w:rtl/>
          <w:lang w:val="en-AU" w:bidi="ar-AE"/>
        </w:rPr>
        <w:t xml:space="preserve">   </w:t>
      </w:r>
    </w:p>
    <w:p w14:paraId="362D89A9"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 xml:space="preserve"> 2</w:t>
      </w:r>
      <w:r w:rsidRPr="003459CA">
        <w:rPr>
          <w:rFonts w:ascii="Simplified Arabic" w:eastAsia="Times New Roman" w:hAnsi="Simplified Arabic" w:cs="Simplified Arabic" w:hint="cs"/>
          <w:sz w:val="26"/>
          <w:szCs w:val="26"/>
          <w:rtl/>
          <w:lang w:val="en-AU" w:bidi="ar-AE"/>
        </w:rPr>
        <w:t xml:space="preserve">- </w:t>
      </w:r>
      <w:r>
        <w:rPr>
          <w:rFonts w:ascii="Simplified Arabic" w:eastAsia="Times New Roman" w:hAnsi="Simplified Arabic" w:cs="Simplified Arabic"/>
          <w:sz w:val="26"/>
          <w:szCs w:val="26"/>
          <w:rtl/>
          <w:lang w:val="en-AU" w:bidi="ar-AE"/>
        </w:rPr>
        <w:t xml:space="preserve">انقضاء الرهن </w:t>
      </w:r>
      <w:r>
        <w:rPr>
          <w:rFonts w:ascii="Simplified Arabic" w:eastAsia="Times New Roman" w:hAnsi="Simplified Arabic" w:cs="Simplified Arabic" w:hint="cs"/>
          <w:sz w:val="26"/>
          <w:szCs w:val="26"/>
          <w:rtl/>
          <w:lang w:val="en-AU" w:bidi="ar-AE"/>
        </w:rPr>
        <w:t>ب</w:t>
      </w:r>
      <w:r w:rsidRPr="003459CA">
        <w:rPr>
          <w:rFonts w:ascii="Simplified Arabic" w:eastAsia="Times New Roman" w:hAnsi="Simplified Arabic" w:cs="Simplified Arabic"/>
          <w:sz w:val="26"/>
          <w:szCs w:val="26"/>
          <w:rtl/>
          <w:lang w:val="en-AU" w:bidi="ar-AE"/>
        </w:rPr>
        <w:t>استحالة التنفيذ</w:t>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hint="cs"/>
          <w:sz w:val="26"/>
          <w:szCs w:val="26"/>
          <w:rtl/>
          <w:lang w:val="en-AU" w:bidi="ar-AE"/>
        </w:rPr>
        <w:t xml:space="preserve"> </w:t>
      </w:r>
      <w:r>
        <w:rPr>
          <w:rFonts w:ascii="Simplified Arabic" w:eastAsia="Times New Roman" w:hAnsi="Simplified Arabic" w:cs="Simplified Arabic" w:hint="cs"/>
          <w:sz w:val="26"/>
          <w:szCs w:val="26"/>
          <w:rtl/>
          <w:lang w:val="en-AU" w:bidi="ar-AE"/>
        </w:rPr>
        <w:t xml:space="preserve"> 3 - </w:t>
      </w:r>
      <w:r w:rsidRPr="00F86CA9">
        <w:rPr>
          <w:rFonts w:ascii="Simplified Arabic" w:eastAsia="Times New Roman" w:hAnsi="Simplified Arabic" w:cs="Simplified Arabic"/>
          <w:sz w:val="26"/>
          <w:szCs w:val="26"/>
          <w:rtl/>
          <w:lang w:val="en-AU"/>
        </w:rPr>
        <w:t>انقضاء الرهن بالتقادم المسقط</w:t>
      </w:r>
      <w:r w:rsidRPr="00F86CA9">
        <w:rPr>
          <w:rFonts w:ascii="Simplified Arabic" w:eastAsia="Times New Roman" w:hAnsi="Simplified Arabic" w:cs="Simplified Arabic" w:hint="cs"/>
          <w:sz w:val="26"/>
          <w:szCs w:val="26"/>
          <w:rtl/>
          <w:lang w:val="en-AU"/>
        </w:rPr>
        <w:t xml:space="preserve"> </w:t>
      </w:r>
    </w:p>
    <w:p w14:paraId="0C06E6D9"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sz w:val="30"/>
          <w:szCs w:val="30"/>
          <w:rtl/>
          <w:lang w:val="en-AU" w:bidi="ar-AE"/>
        </w:rPr>
      </w:pPr>
      <w:r>
        <w:rPr>
          <w:rFonts w:ascii="Simplified Arabic" w:eastAsia="Times New Roman" w:hAnsi="Simplified Arabic" w:cs="Simplified Arabic" w:hint="cs"/>
          <w:b/>
          <w:bCs/>
          <w:sz w:val="30"/>
          <w:szCs w:val="30"/>
          <w:rtl/>
          <w:lang w:val="en-AU" w:bidi="ar-AE"/>
        </w:rPr>
        <w:t>الفرع الأول</w:t>
      </w:r>
    </w:p>
    <w:p w14:paraId="7FD2CD1F"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sz w:val="30"/>
          <w:szCs w:val="30"/>
          <w:rtl/>
          <w:lang w:val="en-AU" w:bidi="ar-AE"/>
        </w:rPr>
      </w:pPr>
      <w:r w:rsidRPr="003459CA">
        <w:rPr>
          <w:rFonts w:ascii="Simplified Arabic" w:eastAsia="Times New Roman" w:hAnsi="Simplified Arabic" w:cs="Simplified Arabic"/>
          <w:b/>
          <w:bCs/>
          <w:sz w:val="30"/>
          <w:szCs w:val="30"/>
          <w:rtl/>
          <w:lang w:val="en-AU" w:bidi="ar-AE"/>
        </w:rPr>
        <w:t>الإبراء من الدين</w:t>
      </w:r>
      <w:r w:rsidRPr="003459CA">
        <w:rPr>
          <w:rFonts w:ascii="Simplified Arabic" w:eastAsia="Times New Roman" w:hAnsi="Simplified Arabic" w:cs="Simplified Arabic" w:hint="cs"/>
          <w:b/>
          <w:bCs/>
          <w:sz w:val="30"/>
          <w:szCs w:val="30"/>
          <w:rtl/>
          <w:lang w:val="en-AU" w:bidi="ar-AE"/>
        </w:rPr>
        <w:t xml:space="preserve"> كسبب لانقضاء الرهن</w:t>
      </w:r>
    </w:p>
    <w:p w14:paraId="55142A9A"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u w:val="single"/>
          <w:rtl/>
          <w:lang w:val="fr-FR"/>
        </w:rPr>
      </w:pPr>
    </w:p>
    <w:p w14:paraId="75CEFBFC" w14:textId="01B33808" w:rsidR="00BC076D" w:rsidRDefault="00BC076D" w:rsidP="00BC076D">
      <w:pPr>
        <w:bidi/>
        <w:rPr>
          <w:rFonts w:ascii="Simplified Arabic" w:eastAsia="Times New Roman" w:hAnsi="Simplified Arabic" w:cs="Simplified Arabic"/>
          <w:sz w:val="26"/>
          <w:szCs w:val="26"/>
          <w:rtl/>
          <w:lang w:val="fr-FR"/>
        </w:rPr>
      </w:pPr>
      <w:r>
        <w:rPr>
          <w:rFonts w:ascii="Simplified Arabic" w:eastAsia="Times New Roman" w:hAnsi="Simplified Arabic" w:cs="Simplified Arabic" w:hint="cs"/>
          <w:b/>
          <w:bCs/>
          <w:sz w:val="26"/>
          <w:szCs w:val="26"/>
          <w:rtl/>
          <w:lang w:val="fr-FR"/>
        </w:rPr>
        <w:t>60</w:t>
      </w:r>
      <w:r w:rsidRPr="003459CA">
        <w:rPr>
          <w:rFonts w:ascii="Simplified Arabic" w:eastAsia="Times New Roman" w:hAnsi="Simplified Arabic" w:cs="Simplified Arabic"/>
          <w:b/>
          <w:bCs/>
          <w:sz w:val="26"/>
          <w:szCs w:val="26"/>
          <w:rtl/>
          <w:lang w:val="fr-FR"/>
        </w:rPr>
        <w:t xml:space="preserve"> – ماهية الإبراء :</w:t>
      </w:r>
      <w:r w:rsidRPr="003459CA">
        <w:rPr>
          <w:rFonts w:ascii="Simplified Arabic" w:eastAsia="Times New Roman" w:hAnsi="Simplified Arabic" w:cs="Simplified Arabic"/>
          <w:sz w:val="26"/>
          <w:szCs w:val="26"/>
          <w:rtl/>
          <w:lang w:val="fr-FR"/>
        </w:rPr>
        <w:t xml:space="preserve"> </w:t>
      </w:r>
      <w:r w:rsidRPr="003459CA">
        <w:rPr>
          <w:rFonts w:ascii="Simplified Arabic" w:eastAsia="Times New Roman" w:hAnsi="Simplified Arabic" w:cs="Simplified Arabic" w:hint="cs"/>
          <w:sz w:val="26"/>
          <w:szCs w:val="26"/>
          <w:rtl/>
          <w:lang w:val="fr-FR"/>
        </w:rPr>
        <w:t>الإبراء هو ترك الدائن حقه دون مقابل ، فينقضي به الدين وتبرأ ذمة المدين دون أن يحصل الدائن على شيء (</w:t>
      </w:r>
      <w:r w:rsidRPr="003459CA">
        <w:rPr>
          <w:rStyle w:val="FootnoteReference"/>
          <w:rFonts w:ascii="Simplified Arabic" w:eastAsia="Times New Roman" w:hAnsi="Simplified Arabic" w:cs="Simplified Arabic"/>
          <w:sz w:val="26"/>
          <w:szCs w:val="26"/>
          <w:rtl/>
          <w:lang w:val="fr-FR"/>
        </w:rPr>
        <w:footnoteReference w:id="2"/>
      </w:r>
      <w:r w:rsidRPr="003459CA">
        <w:rPr>
          <w:rFonts w:ascii="Simplified Arabic" w:eastAsia="Times New Roman" w:hAnsi="Simplified Arabic" w:cs="Simplified Arabic" w:hint="cs"/>
          <w:sz w:val="26"/>
          <w:szCs w:val="26"/>
          <w:rtl/>
          <w:lang w:val="fr-FR"/>
        </w:rPr>
        <w:t xml:space="preserve">) </w:t>
      </w:r>
      <w:r>
        <w:rPr>
          <w:rFonts w:ascii="Simplified Arabic" w:eastAsia="Times New Roman" w:hAnsi="Simplified Arabic" w:cs="Simplified Arabic" w:hint="cs"/>
          <w:sz w:val="26"/>
          <w:szCs w:val="26"/>
          <w:rtl/>
          <w:lang w:val="fr-FR"/>
        </w:rPr>
        <w:t>.</w:t>
      </w: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الإبراء تصرف تبرعي صادر من</w:t>
      </w:r>
    </w:p>
    <w:p w14:paraId="47A29239" w14:textId="77777777" w:rsidR="00BC076D" w:rsidRDefault="00BC076D" w:rsidP="00BC076D">
      <w:pPr>
        <w:bidi/>
        <w:rPr>
          <w:rFonts w:ascii="Simplified Arabic" w:eastAsia="Times New Roman" w:hAnsi="Simplified Arabic" w:cs="Simplified Arabic"/>
          <w:sz w:val="26"/>
          <w:szCs w:val="26"/>
          <w:rtl/>
          <w:lang w:val="fr-FR"/>
        </w:rPr>
      </w:pPr>
    </w:p>
    <w:p w14:paraId="25074A5C"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fr-FR"/>
        </w:rPr>
        <w:t xml:space="preserve">جانب واحد وهو الدائن المبرئ </w:t>
      </w:r>
      <w:r w:rsidRPr="003459CA">
        <w:rPr>
          <w:rFonts w:ascii="Simplified Arabic" w:eastAsia="Times New Roman" w:hAnsi="Simplified Arabic" w:cs="Simplified Arabic"/>
          <w:sz w:val="26"/>
          <w:szCs w:val="26"/>
          <w:rtl/>
          <w:lang w:val="en-AU" w:bidi="ar-AE"/>
        </w:rPr>
        <w:t>( وفي حالة الرهن هو الدائن المرتهن ) ، وبموجبه يترك الدائن حقه أو يتنازل عنه دون مقابل وينقضي به التزام المدين  (</w:t>
      </w:r>
      <w:r w:rsidRPr="003459CA">
        <w:rPr>
          <w:rStyle w:val="FootnoteReference"/>
          <w:rFonts w:ascii="Simplified Arabic" w:eastAsia="Times New Roman" w:hAnsi="Simplified Arabic" w:cs="Simplified Arabic"/>
          <w:sz w:val="26"/>
          <w:szCs w:val="26"/>
          <w:rtl/>
          <w:lang w:val="en-AU" w:bidi="ar-AE"/>
        </w:rPr>
        <w:footnoteReference w:id="3"/>
      </w:r>
      <w:r w:rsidRPr="003459CA">
        <w:rPr>
          <w:rFonts w:ascii="Simplified Arabic" w:eastAsia="Times New Roman" w:hAnsi="Simplified Arabic" w:cs="Simplified Arabic"/>
          <w:sz w:val="26"/>
          <w:szCs w:val="26"/>
          <w:rtl/>
          <w:lang w:val="en-AU" w:bidi="ar-AE"/>
        </w:rPr>
        <w:t xml:space="preserve">) ، وبإبراء الدائن  للمدين ينقضي معه الرهن التـأميني تبعاً لانقضاء هذا الدين .  </w:t>
      </w:r>
    </w:p>
    <w:p w14:paraId="23BC7288"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وقد تم النص على الإبراء في قانون المعاملات المدنية في المواد 468 – 471  . </w:t>
      </w:r>
    </w:p>
    <w:p w14:paraId="0F828D59"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حي</w:t>
      </w:r>
      <w:r>
        <w:rPr>
          <w:rFonts w:ascii="Simplified Arabic" w:eastAsia="Times New Roman" w:hAnsi="Simplified Arabic" w:cs="Simplified Arabic"/>
          <w:sz w:val="26"/>
          <w:szCs w:val="26"/>
          <w:rtl/>
          <w:lang w:val="en-AU" w:bidi="ar-AE"/>
        </w:rPr>
        <w:t xml:space="preserve">ث نصت المادة رقم 468 على أنه : </w:t>
      </w:r>
      <w:r w:rsidRPr="003459CA">
        <w:rPr>
          <w:rFonts w:ascii="Simplified Arabic" w:eastAsia="Times New Roman" w:hAnsi="Simplified Arabic" w:cs="Simplified Arabic"/>
          <w:sz w:val="26"/>
          <w:szCs w:val="26"/>
          <w:rtl/>
          <w:lang w:val="en-AU" w:bidi="ar-AE"/>
        </w:rPr>
        <w:t>" إذا أبرأ الدائن مدينه مختارا من حق له عليه انقضى الحق</w:t>
      </w:r>
      <w:r w:rsidRPr="003459CA">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 "</w:t>
      </w:r>
    </w:p>
    <w:p w14:paraId="1E753CD1"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وعلى هذا فإن الإبراء من الدين الذي ينقضي به الرهن التأميني هو الإبراء الكلي من الدين ، أما الإبراء الجزئي الذي يظل معه الدين قائماً – بصورة جزئية – فلا ينقضي معه الرهن التأميني . </w:t>
      </w:r>
    </w:p>
    <w:p w14:paraId="12AADB38"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3FA8BD26"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ab/>
        <w:t xml:space="preserve">ولا يتوقف الإبراء على قبول المدين ، إلا أن الإبراء يرتد برد المدين له ، فإذا وصل الإبراء إلى علم المدين ولم يرده في المجلس الذي علم فيه ، لم يستطع أن يرده بعد ذلك . أما إذا رده في المجلس ، فإنه يرتد ويزول أثره ، ويبقى الدين في ذمة المدين بجميع تأميناته ومنها الرهن التأميني </w:t>
      </w:r>
      <w:r>
        <w:rPr>
          <w:rFonts w:ascii="Simplified Arabic" w:eastAsia="Times New Roman" w:hAnsi="Simplified Arabic" w:cs="Simplified Arabic" w:hint="cs"/>
          <w:sz w:val="26"/>
          <w:szCs w:val="26"/>
          <w:rtl/>
          <w:lang w:val="en-AU" w:bidi="ar-AE"/>
        </w:rPr>
        <w:t>(</w:t>
      </w:r>
      <w:r>
        <w:rPr>
          <w:rStyle w:val="FootnoteReference"/>
          <w:rFonts w:ascii="Simplified Arabic" w:eastAsia="Times New Roman" w:hAnsi="Simplified Arabic" w:cs="Simplified Arabic"/>
          <w:sz w:val="26"/>
          <w:szCs w:val="26"/>
          <w:rtl/>
          <w:lang w:val="en-AU" w:bidi="ar-AE"/>
        </w:rPr>
        <w:footnoteReference w:id="4"/>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 </w:t>
      </w:r>
    </w:p>
    <w:p w14:paraId="476D316C"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430DD52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ومع ذلك فقد نص المشرع الإماراتي في عجز المادة 469 معاملات مدنية على أنه وإن مات الدائن المبرأ  قبل قبول المدين فلا يؤخذ الدين من ترك</w:t>
      </w:r>
      <w:r w:rsidRPr="003459CA">
        <w:rPr>
          <w:rFonts w:ascii="Simplified Arabic" w:eastAsia="Times New Roman" w:hAnsi="Simplified Arabic" w:cs="Simplified Arabic" w:hint="cs"/>
          <w:sz w:val="26"/>
          <w:szCs w:val="26"/>
          <w:rtl/>
          <w:lang w:val="en-AU" w:bidi="ar-AE"/>
        </w:rPr>
        <w:t>ة</w:t>
      </w:r>
      <w:r w:rsidRPr="003459CA">
        <w:rPr>
          <w:rFonts w:ascii="Simplified Arabic" w:eastAsia="Times New Roman" w:hAnsi="Simplified Arabic" w:cs="Simplified Arabic"/>
          <w:sz w:val="26"/>
          <w:szCs w:val="26"/>
          <w:rtl/>
          <w:lang w:val="en-AU" w:bidi="ar-AE"/>
        </w:rPr>
        <w:t xml:space="preserve"> الدائن.</w:t>
      </w:r>
    </w:p>
    <w:p w14:paraId="04B7EA21"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وهذه الأحكام تضمنتها نص المادة 469 معاملات مدنية والتي نصت على الآتي:</w:t>
      </w:r>
    </w:p>
    <w:p w14:paraId="1E9DB21B"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لا يتوقف الإبراء على قبول المدين إلا أنه يرتد برده وإن مات قبل القبول فلا يؤخذ الدين من تركته. " </w:t>
      </w:r>
    </w:p>
    <w:p w14:paraId="22C67F8A"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كما نصت المادة رقم 471 من ذات القانون على الآتي :</w:t>
      </w:r>
    </w:p>
    <w:p w14:paraId="1E9882B6"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1- يسري على الإبراء الأحكام الموضوعية التي تسري على كل تبرع. 2- ولا يشترط فيه شكل خاص ولو وقع على تصرف يشترط لقيامه توافر شكل فرضه القانون أو اتفق عليه المتعاقدان " .</w:t>
      </w:r>
    </w:p>
    <w:p w14:paraId="5BDB4DBE"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ولا يشترط في الإبراء أن يرد في شكل معين حتى لو وقع على التزام اشترط لقيامه شكل معين فرضه القانون أو اتفق عليه المتعاقدان  (</w:t>
      </w:r>
      <w:r w:rsidRPr="003459CA">
        <w:rPr>
          <w:rStyle w:val="FootnoteReference"/>
          <w:rFonts w:ascii="Simplified Arabic" w:eastAsia="Times New Roman" w:hAnsi="Simplified Arabic" w:cs="Simplified Arabic"/>
          <w:sz w:val="26"/>
          <w:szCs w:val="26"/>
          <w:rtl/>
          <w:lang w:val="en-AU" w:bidi="ar-AE"/>
        </w:rPr>
        <w:footnoteReference w:id="5"/>
      </w:r>
      <w:r w:rsidRPr="003459CA">
        <w:rPr>
          <w:rFonts w:ascii="Simplified Arabic" w:eastAsia="Times New Roman" w:hAnsi="Simplified Arabic" w:cs="Simplified Arabic"/>
          <w:sz w:val="26"/>
          <w:szCs w:val="26"/>
          <w:rtl/>
          <w:lang w:val="en-AU" w:bidi="ar-AE"/>
        </w:rPr>
        <w:t xml:space="preserve"> ) ،  (</w:t>
      </w:r>
      <w:r w:rsidRPr="003459CA">
        <w:rPr>
          <w:rStyle w:val="FootnoteReference"/>
          <w:rFonts w:ascii="Simplified Arabic" w:eastAsia="Times New Roman" w:hAnsi="Simplified Arabic" w:cs="Simplified Arabic"/>
          <w:sz w:val="26"/>
          <w:szCs w:val="26"/>
          <w:rtl/>
          <w:lang w:val="en-AU" w:bidi="ar-AE"/>
        </w:rPr>
        <w:footnoteReference w:id="6"/>
      </w:r>
      <w:r w:rsidRPr="003459CA">
        <w:rPr>
          <w:rFonts w:ascii="Simplified Arabic" w:eastAsia="Times New Roman" w:hAnsi="Simplified Arabic" w:cs="Simplified Arabic"/>
          <w:sz w:val="26"/>
          <w:szCs w:val="26"/>
          <w:rtl/>
          <w:lang w:val="en-AU" w:bidi="ar-AE"/>
        </w:rPr>
        <w:t>).</w:t>
      </w:r>
    </w:p>
    <w:p w14:paraId="074252C2"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ولذلك فإن الإبراء من الرهن لا يشترط فيه الشكلية المطلوبة في عقد الرهن التأميني، ما مفاده جواز الإبراء من الرهن بموجب مستند عرفي ودون الحاجة إلى إثباته لدى جهة التوثيق أو التسجيل ( بل ودون مستند كتابي أصلاً ) ، وفي هذه الحالات يتوجب على المدين إثبات صحة هذا الإبراء ، وقد يكون ذلك بواسطة القضاء عن طريق إقامة دعوى بذلك ، حتى يتمكن من فك الرهن ومحو القيد الخاص به من سجلات دائرة الأراضي</w:t>
      </w:r>
      <w:r>
        <w:rPr>
          <w:rFonts w:ascii="Simplified Arabic" w:eastAsia="Times New Roman" w:hAnsi="Simplified Arabic" w:cs="Simplified Arabic"/>
          <w:sz w:val="26"/>
          <w:szCs w:val="26"/>
          <w:rtl/>
          <w:lang w:val="en-AU" w:bidi="ar-AE"/>
        </w:rPr>
        <w:t xml:space="preserve">. </w:t>
      </w:r>
    </w:p>
    <w:p w14:paraId="166DA310"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فقد يكتفي ا</w:t>
      </w:r>
      <w:r>
        <w:rPr>
          <w:rFonts w:ascii="Simplified Arabic" w:eastAsia="Times New Roman" w:hAnsi="Simplified Arabic" w:cs="Simplified Arabic"/>
          <w:sz w:val="26"/>
          <w:szCs w:val="26"/>
          <w:rtl/>
          <w:lang w:val="en-AU" w:bidi="ar-AE"/>
        </w:rPr>
        <w:t>لدائن بالنزول عن الرهن التأميني</w:t>
      </w:r>
      <w:r w:rsidRPr="003459CA">
        <w:rPr>
          <w:rFonts w:ascii="Simplified Arabic" w:eastAsia="Times New Roman" w:hAnsi="Simplified Arabic" w:cs="Simplified Arabic"/>
          <w:sz w:val="26"/>
          <w:szCs w:val="26"/>
          <w:rtl/>
          <w:lang w:val="en-AU" w:bidi="ar-AE"/>
        </w:rPr>
        <w:t>، و</w:t>
      </w:r>
      <w:r>
        <w:rPr>
          <w:rFonts w:ascii="Simplified Arabic" w:eastAsia="Times New Roman" w:hAnsi="Simplified Arabic" w:cs="Simplified Arabic"/>
          <w:sz w:val="26"/>
          <w:szCs w:val="26"/>
          <w:rtl/>
          <w:lang w:val="en-AU" w:bidi="ar-AE"/>
        </w:rPr>
        <w:t xml:space="preserve">في هذه الحالة يزول الرهن </w:t>
      </w:r>
      <w:r w:rsidRPr="003459CA">
        <w:rPr>
          <w:rFonts w:ascii="Simplified Arabic" w:eastAsia="Times New Roman" w:hAnsi="Simplified Arabic" w:cs="Simplified Arabic"/>
          <w:sz w:val="26"/>
          <w:szCs w:val="26"/>
          <w:rtl/>
          <w:lang w:val="en-AU" w:bidi="ar-AE"/>
        </w:rPr>
        <w:t>التأميني  وحده بالنزول عنه من الدائن المرتهن ، ولكن الدين يبقى إذ</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لم يوجد سبب لزواله .</w:t>
      </w:r>
    </w:p>
    <w:p w14:paraId="07155457"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58513192"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ومن جهة أخرى : فإنه وإذ ينقضي الدين بالإبراء ، فإنه ينقضي ما كان يكفله من تأمينات ، ويدخل فيها الرهن التأميني  .</w:t>
      </w:r>
    </w:p>
    <w:p w14:paraId="3DE78F12"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فالرهن يزول مع الدين كما قدمنا ، ولكن الدين لا يزول مع الرهن ، إذ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ن الرهن تابع والدين أصيل  (</w:t>
      </w:r>
      <w:r w:rsidRPr="003459CA">
        <w:rPr>
          <w:rStyle w:val="FootnoteReference"/>
          <w:rFonts w:ascii="Simplified Arabic" w:eastAsia="Times New Roman" w:hAnsi="Simplified Arabic" w:cs="Simplified Arabic"/>
          <w:sz w:val="26"/>
          <w:szCs w:val="26"/>
          <w:rtl/>
          <w:lang w:val="en-AU" w:bidi="ar-AE"/>
        </w:rPr>
        <w:footnoteReference w:id="7"/>
      </w:r>
      <w:r w:rsidRPr="003459CA">
        <w:rPr>
          <w:rFonts w:ascii="Simplified Arabic" w:eastAsia="Times New Roman" w:hAnsi="Simplified Arabic" w:cs="Simplified Arabic"/>
          <w:sz w:val="26"/>
          <w:szCs w:val="26"/>
          <w:rtl/>
          <w:lang w:val="en-AU" w:bidi="ar-AE"/>
        </w:rPr>
        <w:t xml:space="preserve"> ).</w:t>
      </w:r>
    </w:p>
    <w:p w14:paraId="776887FE"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00360F0B" w14:textId="77777777" w:rsidR="00BC076D"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61</w:t>
      </w:r>
      <w:r w:rsidRPr="00203E55">
        <w:rPr>
          <w:rFonts w:ascii="Simplified Arabic" w:eastAsia="Times New Roman" w:hAnsi="Simplified Arabic" w:cs="Simplified Arabic" w:hint="cs"/>
          <w:b/>
          <w:bCs/>
          <w:sz w:val="26"/>
          <w:szCs w:val="26"/>
          <w:rtl/>
          <w:lang w:val="en-AU" w:bidi="ar-AE"/>
        </w:rPr>
        <w:t xml:space="preserve"> - </w:t>
      </w:r>
      <w:r w:rsidRPr="00203E55">
        <w:rPr>
          <w:rFonts w:ascii="Simplified Arabic" w:eastAsia="Times New Roman" w:hAnsi="Simplified Arabic" w:cs="Simplified Arabic"/>
          <w:b/>
          <w:bCs/>
          <w:sz w:val="26"/>
          <w:szCs w:val="26"/>
          <w:rtl/>
          <w:lang w:val="en-AU" w:bidi="ar-AE"/>
        </w:rPr>
        <w:t>ولقيام الإبراء صحيحاً يجب توافر شروط معينة نذكرها إجمالاً</w:t>
      </w:r>
      <w:r>
        <w:rPr>
          <w:rFonts w:ascii="Simplified Arabic" w:eastAsia="Times New Roman" w:hAnsi="Simplified Arabic" w:cs="Simplified Arabic"/>
          <w:b/>
          <w:bCs/>
          <w:sz w:val="26"/>
          <w:szCs w:val="26"/>
          <w:rtl/>
          <w:lang w:val="en-AU" w:bidi="ar-AE"/>
        </w:rPr>
        <w:t xml:space="preserve"> على النحو التالي</w:t>
      </w:r>
      <w:r w:rsidRPr="003459CA">
        <w:rPr>
          <w:rFonts w:ascii="Simplified Arabic" w:eastAsia="Times New Roman" w:hAnsi="Simplified Arabic" w:cs="Simplified Arabic"/>
          <w:b/>
          <w:bCs/>
          <w:sz w:val="26"/>
          <w:szCs w:val="26"/>
          <w:rtl/>
          <w:lang w:val="en-AU" w:bidi="ar-AE"/>
        </w:rPr>
        <w:t xml:space="preserve">: </w:t>
      </w:r>
    </w:p>
    <w:p w14:paraId="1ABF1635"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1 – يجب أن يكون المبرئ كامل الأهلية .  </w:t>
      </w:r>
      <w:r w:rsidRPr="003459CA">
        <w:rPr>
          <w:rFonts w:ascii="Simplified Arabic" w:eastAsia="Times New Roman" w:hAnsi="Simplified Arabic" w:cs="Simplified Arabic"/>
          <w:color w:val="FF0000"/>
          <w:sz w:val="26"/>
          <w:szCs w:val="26"/>
          <w:rtl/>
          <w:lang w:val="en-AU" w:bidi="ar-AE"/>
        </w:rPr>
        <w:t xml:space="preserve"> </w:t>
      </w:r>
    </w:p>
    <w:p w14:paraId="2FC3B71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sz w:val="26"/>
          <w:szCs w:val="26"/>
          <w:rtl/>
          <w:lang w:val="en-AU" w:bidi="ar-AE"/>
        </w:rPr>
        <w:t xml:space="preserve">فيجب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يكون المبرئ بالغاً سن الرشد غير محجور عليه ، فلا يصح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يصدر الإبراء من القصر أو المحجور عليهم لأنهم ليسوا من أهل التبرع . </w:t>
      </w:r>
    </w:p>
    <w:p w14:paraId="02548E6F"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2 –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يكون محله غير مخالف للنظام العام والآداب وإلا كان الإبراء باطلاً . </w:t>
      </w:r>
    </w:p>
    <w:p w14:paraId="00E8E2F6"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3 – أن يكون سببه أو الباعث عليه مشروعاً ، وإلا كان غير صحيح وباطل .</w:t>
      </w:r>
    </w:p>
    <w:p w14:paraId="0157B869"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4 – أن تكون إرادة المبرئ خالية من عيوب الرضا ، وهي الغلط والتدليس والإكراه وال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ستغلال</w:t>
      </w:r>
      <w:r>
        <w:rPr>
          <w:rFonts w:ascii="Simplified Arabic" w:eastAsia="Times New Roman" w:hAnsi="Simplified Arabic" w:cs="Simplified Arabic"/>
          <w:sz w:val="26"/>
          <w:szCs w:val="26"/>
          <w:rtl/>
          <w:lang w:val="en-AU" w:bidi="ar-AE"/>
        </w:rPr>
        <w:t xml:space="preserve"> وإلا كان الإبراء </w:t>
      </w:r>
      <w:r>
        <w:rPr>
          <w:rFonts w:ascii="Simplified Arabic" w:eastAsia="Times New Roman" w:hAnsi="Simplified Arabic" w:cs="Simplified Arabic" w:hint="cs"/>
          <w:sz w:val="26"/>
          <w:szCs w:val="26"/>
          <w:rtl/>
          <w:lang w:val="en-AU" w:bidi="ar-AE"/>
        </w:rPr>
        <w:t>باطلاً</w:t>
      </w:r>
      <w:r w:rsidRPr="003459CA">
        <w:rPr>
          <w:rFonts w:ascii="Simplified Arabic" w:eastAsia="Times New Roman" w:hAnsi="Simplified Arabic" w:cs="Simplified Arabic"/>
          <w:sz w:val="26"/>
          <w:szCs w:val="26"/>
          <w:rtl/>
          <w:lang w:val="en-AU" w:bidi="ar-AE"/>
        </w:rPr>
        <w:t xml:space="preserve"> (</w:t>
      </w:r>
      <w:r w:rsidRPr="003459CA">
        <w:rPr>
          <w:rStyle w:val="FootnoteReference"/>
          <w:rFonts w:ascii="Simplified Arabic" w:eastAsia="Times New Roman" w:hAnsi="Simplified Arabic" w:cs="Simplified Arabic"/>
          <w:sz w:val="26"/>
          <w:szCs w:val="26"/>
          <w:rtl/>
          <w:lang w:val="en-AU" w:bidi="ar-AE"/>
        </w:rPr>
        <w:footnoteReference w:id="8"/>
      </w:r>
      <w:r w:rsidRPr="003459CA">
        <w:rPr>
          <w:rFonts w:ascii="Simplified Arabic" w:eastAsia="Times New Roman" w:hAnsi="Simplified Arabic" w:cs="Simplified Arabic"/>
          <w:sz w:val="26"/>
          <w:szCs w:val="26"/>
          <w:rtl/>
          <w:lang w:val="en-AU" w:bidi="ar-AE"/>
        </w:rPr>
        <w:t xml:space="preserve">). </w:t>
      </w:r>
    </w:p>
    <w:p w14:paraId="1D4A51BB"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307BBA5E" w14:textId="472E457C" w:rsidR="00BC076D" w:rsidRPr="003459CA"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r w:rsidRPr="00203E55">
        <w:rPr>
          <w:rFonts w:ascii="Simplified Arabic" w:eastAsia="Times New Roman" w:hAnsi="Simplified Arabic" w:cs="Simplified Arabic"/>
          <w:b/>
          <w:bCs/>
          <w:sz w:val="26"/>
          <w:szCs w:val="26"/>
          <w:rtl/>
          <w:lang w:val="en-AU" w:bidi="ar-AE"/>
        </w:rPr>
        <w:t xml:space="preserve">والإبراء  من الدين </w:t>
      </w:r>
      <w:r w:rsidRPr="00203E55">
        <w:rPr>
          <w:rFonts w:ascii="Simplified Arabic" w:eastAsia="Times New Roman" w:hAnsi="Simplified Arabic" w:cs="Simplified Arabic" w:hint="cs"/>
          <w:b/>
          <w:bCs/>
          <w:sz w:val="26"/>
          <w:szCs w:val="26"/>
          <w:rtl/>
          <w:lang w:val="en-AU" w:bidi="ar-AE"/>
        </w:rPr>
        <w:t>أ</w:t>
      </w:r>
      <w:r w:rsidRPr="00203E55">
        <w:rPr>
          <w:rFonts w:ascii="Simplified Arabic" w:eastAsia="Times New Roman" w:hAnsi="Simplified Arabic" w:cs="Simplified Arabic"/>
          <w:b/>
          <w:bCs/>
          <w:sz w:val="26"/>
          <w:szCs w:val="26"/>
          <w:rtl/>
          <w:lang w:val="en-AU" w:bidi="ar-AE"/>
        </w:rPr>
        <w:t>و التنازل عنه لا يسقط بالتقادم</w:t>
      </w:r>
      <w:r w:rsidRPr="003459CA">
        <w:rPr>
          <w:rFonts w:ascii="Simplified Arabic" w:eastAsia="Times New Roman" w:hAnsi="Simplified Arabic" w:cs="Simplified Arabic"/>
          <w:sz w:val="26"/>
          <w:szCs w:val="26"/>
          <w:rtl/>
          <w:lang w:val="en-AU" w:bidi="ar-AE"/>
        </w:rPr>
        <w:t xml:space="preserve"> بحسب ما انتهت إليه أحكام محكمة النقض المصرية والتي قررت أن:" التنازل الذي يتضمن إبراء الدائن مدينه من التزام ما ، إنما هو وسيلة من وسائل انقضاء الالتزامات ، وإذا كان التقادم المسقط هو وسيلة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خرى من وسائل انقضاء الالتزام دون الوفاء به ، فإنه لا يمكن ان يرد على مثال هذا التنازل ، ومن ثم فإنه متى صدر التنازل نهائياً ، فإنه ينشئ مركزاً قانونياً ثابتاً لا</w:t>
      </w:r>
    </w:p>
    <w:p w14:paraId="3A67E804"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457346FE"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يتقادم أبداً ، ويحق للمتنازل إليه ان يطلب في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ي وقت إعمال الآثار القانونية لهذا التنازل ومن بينها إبطال ما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تخذ المتنازل من إجرءات بالمخالفة لتنازله (</w:t>
      </w:r>
      <w:r w:rsidRPr="003459CA">
        <w:rPr>
          <w:rStyle w:val="FootnoteReference"/>
          <w:rFonts w:ascii="Simplified Arabic" w:eastAsia="Times New Roman" w:hAnsi="Simplified Arabic" w:cs="Simplified Arabic"/>
          <w:sz w:val="26"/>
          <w:szCs w:val="26"/>
          <w:rtl/>
          <w:lang w:val="en-AU" w:bidi="ar-AE"/>
        </w:rPr>
        <w:footnoteReference w:id="9"/>
      </w:r>
      <w:r w:rsidRPr="003459CA">
        <w:rPr>
          <w:rFonts w:ascii="Simplified Arabic" w:eastAsia="Times New Roman" w:hAnsi="Simplified Arabic" w:cs="Simplified Arabic"/>
          <w:sz w:val="26"/>
          <w:szCs w:val="26"/>
          <w:rtl/>
          <w:lang w:val="en-AU" w:bidi="ar-AE"/>
        </w:rPr>
        <w:t xml:space="preserve">). </w:t>
      </w:r>
    </w:p>
    <w:p w14:paraId="72775603"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672BA5D3"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10858FDC"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color w:val="000000" w:themeColor="text1"/>
          <w:sz w:val="30"/>
          <w:szCs w:val="30"/>
          <w:rtl/>
          <w:lang w:val="en-AU" w:bidi="ar-AE"/>
        </w:rPr>
      </w:pPr>
      <w:r>
        <w:rPr>
          <w:rFonts w:ascii="Simplified Arabic" w:eastAsia="Times New Roman" w:hAnsi="Simplified Arabic" w:cs="Simplified Arabic" w:hint="cs"/>
          <w:b/>
          <w:bCs/>
          <w:color w:val="000000" w:themeColor="text1"/>
          <w:sz w:val="30"/>
          <w:szCs w:val="30"/>
          <w:rtl/>
          <w:lang w:val="en-AU" w:bidi="ar-AE"/>
        </w:rPr>
        <w:t>الفرع الثاني</w:t>
      </w:r>
    </w:p>
    <w:p w14:paraId="6EEC963A" w14:textId="77777777" w:rsidR="00BC076D" w:rsidRPr="003459CA" w:rsidRDefault="00BC076D" w:rsidP="00BC076D">
      <w:pPr>
        <w:bidi/>
        <w:spacing w:after="0" w:line="240" w:lineRule="auto"/>
        <w:jc w:val="center"/>
        <w:rPr>
          <w:rFonts w:ascii="Simplified Arabic" w:eastAsia="Times New Roman" w:hAnsi="Simplified Arabic" w:cs="Simplified Arabic"/>
          <w:b/>
          <w:bCs/>
          <w:sz w:val="30"/>
          <w:szCs w:val="30"/>
          <w:rtl/>
          <w:lang w:val="en-AU" w:bidi="ar-AE"/>
        </w:rPr>
      </w:pPr>
      <w:r w:rsidRPr="003459CA">
        <w:rPr>
          <w:rFonts w:ascii="Simplified Arabic" w:eastAsia="Times New Roman" w:hAnsi="Simplified Arabic" w:cs="Simplified Arabic"/>
          <w:b/>
          <w:bCs/>
          <w:sz w:val="30"/>
          <w:szCs w:val="30"/>
          <w:rtl/>
          <w:lang w:val="en-AU" w:bidi="ar-AE"/>
        </w:rPr>
        <w:t xml:space="preserve">      انقضاء الرهن </w:t>
      </w:r>
      <w:r w:rsidRPr="003459CA">
        <w:rPr>
          <w:rFonts w:ascii="Simplified Arabic" w:eastAsia="Times New Roman" w:hAnsi="Simplified Arabic" w:cs="Simplified Arabic" w:hint="cs"/>
          <w:b/>
          <w:bCs/>
          <w:sz w:val="30"/>
          <w:szCs w:val="30"/>
          <w:rtl/>
          <w:lang w:val="en-AU" w:bidi="ar-AE"/>
        </w:rPr>
        <w:t>لا</w:t>
      </w:r>
      <w:r w:rsidRPr="003459CA">
        <w:rPr>
          <w:rFonts w:ascii="Simplified Arabic" w:eastAsia="Times New Roman" w:hAnsi="Simplified Arabic" w:cs="Simplified Arabic"/>
          <w:b/>
          <w:bCs/>
          <w:sz w:val="30"/>
          <w:szCs w:val="30"/>
          <w:rtl/>
          <w:lang w:val="en-AU" w:bidi="ar-AE"/>
        </w:rPr>
        <w:t>ستحالة التنفيذ</w:t>
      </w:r>
    </w:p>
    <w:p w14:paraId="054C2ED4"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56AD22F4"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b/>
          <w:bCs/>
          <w:sz w:val="26"/>
          <w:szCs w:val="26"/>
          <w:rtl/>
          <w:lang w:val="en-AU" w:bidi="ar-AE"/>
        </w:rPr>
        <w:t xml:space="preserve">  </w:t>
      </w:r>
      <w:r>
        <w:rPr>
          <w:rFonts w:ascii="Simplified Arabic" w:eastAsia="Times New Roman" w:hAnsi="Simplified Arabic" w:cs="Simplified Arabic" w:hint="cs"/>
          <w:b/>
          <w:bCs/>
          <w:sz w:val="26"/>
          <w:szCs w:val="26"/>
          <w:rtl/>
          <w:lang w:val="en-AU" w:bidi="ar-AE"/>
        </w:rPr>
        <w:t>62</w:t>
      </w:r>
      <w:r w:rsidRPr="003459CA">
        <w:rPr>
          <w:rFonts w:ascii="Simplified Arabic" w:eastAsia="Times New Roman" w:hAnsi="Simplified Arabic" w:cs="Simplified Arabic"/>
          <w:b/>
          <w:bCs/>
          <w:sz w:val="26"/>
          <w:szCs w:val="26"/>
          <w:rtl/>
          <w:lang w:val="en-AU" w:bidi="ar-AE"/>
        </w:rPr>
        <w:t xml:space="preserve"> - استحالة التنفيذ وشروط تطبيقه:</w:t>
      </w:r>
      <w:r w:rsidRPr="003459CA">
        <w:rPr>
          <w:rFonts w:ascii="Simplified Arabic" w:eastAsia="Times New Roman" w:hAnsi="Simplified Arabic" w:cs="Simplified Arabic"/>
          <w:sz w:val="26"/>
          <w:szCs w:val="26"/>
          <w:rtl/>
          <w:lang w:val="en-AU" w:bidi="ar-AE"/>
        </w:rPr>
        <w:t xml:space="preserve"> إن الدين المضمون يعتبر هو ركن السبب في عقد الرهن ، ومن ثم يشترط فيه ما يشترط في السبب بوجه عام من الوجود والمشروعية ، فلا بد من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ن يكون للدائن المرتهن حق</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أصلي</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يراد حمايته سواء أكان حقاً شخصياً أو ديناً  كما يلزم أن يكون هذا الحق الشخصي أو الدين مشروعاً ، غير أنه يلاحظ أن الحق الشخصي أو الدين إذا كان محله إعطاء مبلغ من النقود فإنه يكون دائماً مشروعاً ، أي يكون مشروعاً بمجرد وجوده عندما تتوافر الشروط اللازمة لنشوئه</w:t>
      </w:r>
      <w:r w:rsidRPr="003459CA">
        <w:rPr>
          <w:rFonts w:ascii="Simplified Arabic" w:eastAsia="Times New Roman" w:hAnsi="Simplified Arabic" w:cs="Simplified Arabic"/>
          <w:sz w:val="26"/>
          <w:szCs w:val="26"/>
          <w:lang w:val="en-AU" w:bidi="ar-AE"/>
        </w:rPr>
        <w:t xml:space="preserve"> .</w:t>
      </w:r>
    </w:p>
    <w:p w14:paraId="4B22BD5C"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lang w:val="en-AU" w:bidi="ar-AE"/>
        </w:rPr>
        <w:t xml:space="preserve"> </w:t>
      </w:r>
    </w:p>
    <w:p w14:paraId="0EC760A5"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ولا يشترط أن يكون محل الالتزام المضمون بالرهن مبلغأً من النقود ، لأنه قد يكون التزاماً بعمل ، وفي هذه الحالة يضمن الرهن بما يقضي به على المدين  من تعويض ، إذا أخل الملتزم بتنفيذ التزامه ، كما يصح أن يكون محل الالتزام المضمون بالرهن التزاماً ب</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متناع عن عمل ، وفي هذه الحالة يضمن الرهن بما يقضي به على المدين من تعويض إذا أخل الملتزم بتنفيذ التزامه بال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متناع عن عمل  (</w:t>
      </w:r>
      <w:r w:rsidRPr="003459CA">
        <w:rPr>
          <w:rStyle w:val="FootnoteReference"/>
          <w:rFonts w:ascii="Simplified Arabic" w:eastAsia="Times New Roman" w:hAnsi="Simplified Arabic" w:cs="Simplified Arabic"/>
          <w:sz w:val="26"/>
          <w:szCs w:val="26"/>
          <w:rtl/>
          <w:lang w:val="en-AU" w:bidi="ar-AE"/>
        </w:rPr>
        <w:footnoteReference w:id="10"/>
      </w:r>
      <w:r w:rsidRPr="003459CA">
        <w:rPr>
          <w:rFonts w:ascii="Simplified Arabic" w:eastAsia="Times New Roman" w:hAnsi="Simplified Arabic" w:cs="Simplified Arabic"/>
          <w:sz w:val="26"/>
          <w:szCs w:val="26"/>
          <w:rtl/>
          <w:lang w:val="en-AU" w:bidi="ar-AE"/>
        </w:rPr>
        <w:t xml:space="preserve">). </w:t>
      </w:r>
    </w:p>
    <w:p w14:paraId="681DF402"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48CF8C72"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وترتيباً على ما تقدم ، ولما ك</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ن الالتزام المضمون بالرهن قد يكون مبلغ</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نقدي</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أو عمل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و خلافه ، مما يتوقع أن يحدث</w:t>
      </w:r>
      <w:r w:rsidRPr="003459CA">
        <w:rPr>
          <w:rFonts w:ascii="Simplified Arabic" w:hAnsi="Simplified Arabic" w:cs="Simplified Arabic"/>
          <w:sz w:val="20"/>
          <w:szCs w:val="20"/>
          <w:rtl/>
        </w:rPr>
        <w:t xml:space="preserve"> </w:t>
      </w:r>
      <w:r w:rsidRPr="003459CA">
        <w:rPr>
          <w:rFonts w:ascii="Simplified Arabic" w:eastAsia="Times New Roman" w:hAnsi="Simplified Arabic" w:cs="Simplified Arabic"/>
          <w:sz w:val="26"/>
          <w:szCs w:val="26"/>
          <w:rtl/>
          <w:lang w:val="en-AU" w:bidi="ar-AE"/>
        </w:rPr>
        <w:t xml:space="preserve">أي سبب أجنبي لا يد للمدين فيه يتسبب في جعل تنفيذ التزام المدين مستحيلاً ، ومن ثم يسقط الحق المضمون بالرهن وينقضي ، مما ينقضي معه الرهن بصفة تبعية . </w:t>
      </w:r>
    </w:p>
    <w:p w14:paraId="5D4BD332"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وقد نصت المادة 472 من قانون المعاملات المدنية الإماراتي على الآتي : </w:t>
      </w:r>
    </w:p>
    <w:p w14:paraId="40F20094"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ينقضي الحق إذا أثبت المدين أن الوفاء به أصبح مستحيلا عليه لسبب أجنبي لا يد له فيه " ( </w:t>
      </w:r>
      <w:r w:rsidRPr="003459CA">
        <w:rPr>
          <w:rStyle w:val="FootnoteReference"/>
          <w:rFonts w:ascii="Simplified Arabic" w:eastAsia="Times New Roman" w:hAnsi="Simplified Arabic" w:cs="Simplified Arabic"/>
          <w:sz w:val="26"/>
          <w:szCs w:val="26"/>
          <w:rtl/>
          <w:lang w:val="en-AU" w:bidi="ar-AE"/>
        </w:rPr>
        <w:footnoteReference w:id="11"/>
      </w:r>
      <w:r w:rsidRPr="003459CA">
        <w:rPr>
          <w:rFonts w:ascii="Simplified Arabic" w:eastAsia="Times New Roman" w:hAnsi="Simplified Arabic" w:cs="Simplified Arabic"/>
          <w:sz w:val="26"/>
          <w:szCs w:val="26"/>
          <w:rtl/>
          <w:lang w:val="en-AU" w:bidi="ar-AE"/>
        </w:rPr>
        <w:t xml:space="preserve"> ).</w:t>
      </w:r>
    </w:p>
    <w:p w14:paraId="1F0CF852"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كما نصت المادة رقم 386 من ذات القانون على أن : </w:t>
      </w:r>
    </w:p>
    <w:p w14:paraId="4F9F315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إذا استحال على المدين أن ينفذ الالتزام عينا حكم عليه بالتعويض لعدم الوفاء بالتزامه ما لم يثبت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استحالة التنفيذ قد نشأت عن سبب أجنبي لا يد له فيه. ويكون الحكم كذلك إذا تأخر المدين في تنفيذ التزامه. " </w:t>
      </w:r>
    </w:p>
    <w:p w14:paraId="293592E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07509044"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وقد تناولت المذكرة الإيضاحية لقانون المعاملات المدنية شرح</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واف</w:t>
      </w:r>
      <w:r>
        <w:rPr>
          <w:rFonts w:ascii="Simplified Arabic" w:eastAsia="Times New Roman" w:hAnsi="Simplified Arabic" w:cs="Simplified Arabic" w:hint="cs"/>
          <w:sz w:val="26"/>
          <w:szCs w:val="26"/>
          <w:rtl/>
          <w:lang w:val="en-AU" w:bidi="ar-AE"/>
        </w:rPr>
        <w:t>ياً</w:t>
      </w:r>
      <w:r w:rsidRPr="003459CA">
        <w:rPr>
          <w:rFonts w:ascii="Simplified Arabic" w:eastAsia="Times New Roman" w:hAnsi="Simplified Arabic" w:cs="Simplified Arabic"/>
          <w:sz w:val="26"/>
          <w:szCs w:val="26"/>
          <w:rtl/>
          <w:lang w:val="en-AU" w:bidi="ar-AE"/>
        </w:rPr>
        <w:t xml:space="preserve"> لنص المادة 472 سالفة الذكر حيث ورد فيها ما يلي : </w:t>
      </w:r>
    </w:p>
    <w:p w14:paraId="38BB41F7"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تناولت هذه المادة استحالة التنفيذ كسبب لانقضاء الحق متى أثبت المدين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الوفاء به قد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صبح مستحيلاً لسبب أجنبي لا يد له فيه وهو حكم تقتضيه طبيعة الأشياء . </w:t>
      </w:r>
    </w:p>
    <w:p w14:paraId="02DE8297"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ويتضح من النص أنه يتعين أن يثبت أن التنفيذ قد أصبح مستحيلاً وأن هذه الاستحالة ترجع إلى سبب لا يد للمدين فيه . </w:t>
      </w:r>
    </w:p>
    <w:p w14:paraId="2D4496E0"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ويجب أولاً أن ينشأ الحق ممكناً لأن الاستحالة لا ترد على شئ ليس موجوداً وإذا كان تنفيذه منذ البداية مستحيلاً فإنه لا </w:t>
      </w:r>
      <w:r w:rsidRPr="003459CA">
        <w:rPr>
          <w:rFonts w:ascii="Simplified Arabic" w:eastAsia="Times New Roman" w:hAnsi="Simplified Arabic" w:cs="Simplified Arabic" w:hint="cs"/>
          <w:sz w:val="26"/>
          <w:szCs w:val="26"/>
          <w:rtl/>
          <w:lang w:val="en-AU" w:bidi="ar-AE"/>
        </w:rPr>
        <w:t>ي</w:t>
      </w:r>
      <w:r w:rsidRPr="003459CA">
        <w:rPr>
          <w:rFonts w:ascii="Simplified Arabic" w:eastAsia="Times New Roman" w:hAnsi="Simplified Arabic" w:cs="Simplified Arabic"/>
          <w:sz w:val="26"/>
          <w:szCs w:val="26"/>
          <w:rtl/>
          <w:lang w:val="en-AU" w:bidi="ar-AE"/>
        </w:rPr>
        <w:t>نشأ أصلاً ويكون العقد الذي قدمه باطلاً 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نعدام محله </w:t>
      </w:r>
      <w:r>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ويجب أن تكون الاستحالة فعلية أو قانونية .</w:t>
      </w:r>
    </w:p>
    <w:p w14:paraId="4A92CB49"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50D07C1A"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ومن المقرر أن التعهد بنقل حق عيني إذا وقع على عين ثم هلكت العين فإن التنفيذ يصبح مستحيلاً وكذلك إذا وقع العقد على منفعة وهلكت (المادتان 254 ، 255 من المرشد ) وهما تطبيق للآثار المترتبة على انقضاء الحق وللقاعدة التي تضمنها القانون ، ويتحول الحق إلى العوض ( </w:t>
      </w:r>
      <w:r w:rsidRPr="003459CA">
        <w:rPr>
          <w:rStyle w:val="FootnoteReference"/>
          <w:rFonts w:ascii="Simplified Arabic" w:eastAsia="Times New Roman" w:hAnsi="Simplified Arabic" w:cs="Simplified Arabic"/>
          <w:sz w:val="26"/>
          <w:szCs w:val="26"/>
          <w:rtl/>
          <w:lang w:val="en-AU" w:bidi="ar-AE"/>
        </w:rPr>
        <w:footnoteReference w:id="12"/>
      </w:r>
      <w:r w:rsidRPr="003459CA">
        <w:rPr>
          <w:rFonts w:ascii="Simplified Arabic" w:eastAsia="Times New Roman" w:hAnsi="Simplified Arabic" w:cs="Simplified Arabic"/>
          <w:sz w:val="26"/>
          <w:szCs w:val="26"/>
          <w:rtl/>
          <w:lang w:val="en-AU" w:bidi="ar-AE"/>
        </w:rPr>
        <w:t xml:space="preserve">). </w:t>
      </w:r>
    </w:p>
    <w:p w14:paraId="6935CEE1" w14:textId="77777777" w:rsidR="00BC076D" w:rsidRDefault="00BC076D" w:rsidP="00BC076D">
      <w:pPr>
        <w:bidi/>
        <w:spacing w:after="0" w:line="240" w:lineRule="auto"/>
        <w:jc w:val="both"/>
        <w:rPr>
          <w:rFonts w:ascii="Simplified Arabic" w:eastAsia="Times New Roman" w:hAnsi="Simplified Arabic" w:cs="Simplified Arabic"/>
          <w:sz w:val="16"/>
          <w:szCs w:val="16"/>
          <w:rtl/>
          <w:lang w:val="en-AU" w:bidi="ar-AE"/>
        </w:rPr>
      </w:pPr>
    </w:p>
    <w:p w14:paraId="504E7AFC" w14:textId="77777777" w:rsidR="00BC076D" w:rsidRPr="00650192"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6DD0E8F1"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650192">
        <w:rPr>
          <w:rFonts w:ascii="Simplified Arabic" w:eastAsia="Times New Roman" w:hAnsi="Simplified Arabic" w:cs="Simplified Arabic" w:hint="cs"/>
          <w:sz w:val="26"/>
          <w:szCs w:val="26"/>
          <w:rtl/>
          <w:lang w:val="en-AU" w:bidi="ar-AE"/>
        </w:rPr>
        <w:tab/>
      </w:r>
      <w:r w:rsidRPr="00385DB0">
        <w:rPr>
          <w:rFonts w:ascii="Simplified Arabic" w:eastAsia="Times New Roman" w:hAnsi="Simplified Arabic" w:cs="Simplified Arabic" w:hint="cs"/>
          <w:sz w:val="26"/>
          <w:szCs w:val="26"/>
          <w:rtl/>
          <w:lang w:val="en-AU" w:bidi="ar-AE"/>
        </w:rPr>
        <w:t xml:space="preserve">وقبل التطرق لشروط تطبيق قواعد الإستحالة المؤدية إلى انقضاء الرهن ، من الهام التأكيد على وجود نوعين من الإستحالة ، مطلقة ونسبية </w:t>
      </w:r>
      <w:r>
        <w:rPr>
          <w:rFonts w:ascii="Simplified Arabic" w:eastAsia="Times New Roman" w:hAnsi="Simplified Arabic" w:cs="Simplified Arabic" w:hint="cs"/>
          <w:sz w:val="26"/>
          <w:szCs w:val="26"/>
          <w:rtl/>
          <w:lang w:val="en-AU" w:bidi="ar-AE"/>
        </w:rPr>
        <w:t>:</w:t>
      </w:r>
    </w:p>
    <w:p w14:paraId="028545C3" w14:textId="77777777" w:rsidR="00BC076D" w:rsidRDefault="00BC076D" w:rsidP="00BC076D">
      <w:pPr>
        <w:bidi/>
        <w:jc w:val="both"/>
        <w:rPr>
          <w:rFonts w:ascii="Simplified Arabic" w:eastAsia="Times New Roman" w:hAnsi="Simplified Arabic" w:cs="Simplified Arabic"/>
          <w:sz w:val="26"/>
          <w:szCs w:val="26"/>
          <w:rtl/>
          <w:lang w:val="en-AU" w:bidi="ar-AE"/>
        </w:rPr>
      </w:pPr>
      <w:r w:rsidRPr="00B22C3D">
        <w:rPr>
          <w:rFonts w:ascii="Simplified Arabic" w:eastAsia="Times New Roman" w:hAnsi="Simplified Arabic" w:cs="Simplified Arabic"/>
          <w:sz w:val="26"/>
          <w:szCs w:val="26"/>
          <w:rtl/>
          <w:lang w:val="en-AU" w:bidi="ar-AE"/>
        </w:rPr>
        <w:t xml:space="preserve">الاستحالة </w:t>
      </w:r>
      <w:r>
        <w:rPr>
          <w:rFonts w:ascii="Simplified Arabic" w:eastAsia="Times New Roman" w:hAnsi="Simplified Arabic" w:cs="Simplified Arabic" w:hint="cs"/>
          <w:sz w:val="26"/>
          <w:szCs w:val="26"/>
          <w:rtl/>
          <w:lang w:val="en-AU" w:bidi="ar-AE"/>
        </w:rPr>
        <w:t>ال</w:t>
      </w:r>
      <w:r w:rsidRPr="00B22C3D">
        <w:rPr>
          <w:rFonts w:ascii="Simplified Arabic" w:eastAsia="Times New Roman" w:hAnsi="Simplified Arabic" w:cs="Simplified Arabic"/>
          <w:sz w:val="26"/>
          <w:szCs w:val="26"/>
          <w:rtl/>
          <w:lang w:val="en-AU" w:bidi="ar-AE"/>
        </w:rPr>
        <w:t xml:space="preserve">مطلقة ، </w:t>
      </w:r>
      <w:r>
        <w:rPr>
          <w:rFonts w:ascii="Simplified Arabic" w:eastAsia="Times New Roman" w:hAnsi="Simplified Arabic" w:cs="Simplified Arabic" w:hint="cs"/>
          <w:sz w:val="26"/>
          <w:szCs w:val="26"/>
          <w:rtl/>
          <w:lang w:val="en-AU" w:bidi="ar-AE"/>
        </w:rPr>
        <w:t xml:space="preserve">هي التي </w:t>
      </w:r>
      <w:r w:rsidRPr="00B22C3D">
        <w:rPr>
          <w:rFonts w:ascii="Simplified Arabic" w:eastAsia="Times New Roman" w:hAnsi="Simplified Arabic" w:cs="Simplified Arabic"/>
          <w:sz w:val="26"/>
          <w:szCs w:val="26"/>
          <w:rtl/>
          <w:lang w:val="en-AU" w:bidi="ar-AE"/>
        </w:rPr>
        <w:t xml:space="preserve"> يعجز المدين</w:t>
      </w:r>
      <w:r>
        <w:rPr>
          <w:rFonts w:ascii="Simplified Arabic" w:eastAsia="Times New Roman" w:hAnsi="Simplified Arabic" w:cs="Simplified Arabic" w:hint="cs"/>
          <w:sz w:val="26"/>
          <w:szCs w:val="26"/>
          <w:rtl/>
          <w:lang w:val="en-AU" w:bidi="ar-AE"/>
        </w:rPr>
        <w:t xml:space="preserve"> فيها </w:t>
      </w:r>
      <w:r w:rsidRPr="00B22C3D">
        <w:rPr>
          <w:rFonts w:ascii="Simplified Arabic" w:eastAsia="Times New Roman" w:hAnsi="Simplified Arabic" w:cs="Simplified Arabic"/>
          <w:sz w:val="26"/>
          <w:szCs w:val="26"/>
          <w:rtl/>
          <w:lang w:val="en-AU" w:bidi="ar-AE"/>
        </w:rPr>
        <w:t xml:space="preserve"> عجزاً تاماً عن تنفيذ التزامه</w:t>
      </w:r>
      <w:r>
        <w:rPr>
          <w:rFonts w:ascii="Simplified Arabic" w:eastAsia="Times New Roman" w:hAnsi="Simplified Arabic" w:cs="Simplified Arabic" w:hint="cs"/>
          <w:sz w:val="26"/>
          <w:szCs w:val="26"/>
          <w:rtl/>
          <w:lang w:val="en-AU" w:bidi="ar-AE"/>
        </w:rPr>
        <w:t>.</w:t>
      </w:r>
    </w:p>
    <w:p w14:paraId="4DD20602" w14:textId="77777777" w:rsidR="00BC076D" w:rsidRPr="00B22C3D" w:rsidRDefault="00BC076D" w:rsidP="00BC076D">
      <w:pPr>
        <w:bidi/>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و</w:t>
      </w:r>
      <w:r w:rsidRPr="00B22C3D">
        <w:rPr>
          <w:rFonts w:ascii="Simplified Arabic" w:eastAsia="Times New Roman" w:hAnsi="Simplified Arabic" w:cs="Simplified Arabic"/>
          <w:sz w:val="26"/>
          <w:szCs w:val="26"/>
          <w:rtl/>
          <w:lang w:val="en-AU" w:bidi="ar-AE"/>
        </w:rPr>
        <w:t>الاستحالة النسبية</w:t>
      </w:r>
      <w:r>
        <w:rPr>
          <w:rFonts w:ascii="Simplified Arabic" w:eastAsia="Times New Roman" w:hAnsi="Simplified Arabic" w:cs="Simplified Arabic" w:hint="cs"/>
          <w:sz w:val="26"/>
          <w:szCs w:val="26"/>
          <w:rtl/>
          <w:lang w:val="en-AU" w:bidi="ar-AE"/>
        </w:rPr>
        <w:t xml:space="preserve"> ،</w:t>
      </w:r>
      <w:r w:rsidRPr="00B22C3D">
        <w:rPr>
          <w:rFonts w:ascii="Simplified Arabic" w:eastAsia="Times New Roman" w:hAnsi="Simplified Arabic" w:cs="Simplified Arabic"/>
          <w:sz w:val="26"/>
          <w:szCs w:val="26"/>
          <w:rtl/>
          <w:lang w:val="en-AU" w:bidi="ar-AE"/>
        </w:rPr>
        <w:t xml:space="preserve"> </w:t>
      </w:r>
      <w:r>
        <w:rPr>
          <w:rFonts w:ascii="Simplified Arabic" w:eastAsia="Times New Roman" w:hAnsi="Simplified Arabic" w:cs="Simplified Arabic" w:hint="cs"/>
          <w:sz w:val="26"/>
          <w:szCs w:val="26"/>
          <w:rtl/>
          <w:lang w:val="en-AU" w:bidi="ar-AE"/>
        </w:rPr>
        <w:t xml:space="preserve">هي </w:t>
      </w:r>
      <w:r w:rsidRPr="00B22C3D">
        <w:rPr>
          <w:rFonts w:ascii="Simplified Arabic" w:eastAsia="Times New Roman" w:hAnsi="Simplified Arabic" w:cs="Simplified Arabic"/>
          <w:sz w:val="26"/>
          <w:szCs w:val="26"/>
          <w:rtl/>
          <w:lang w:val="en-AU" w:bidi="ar-AE"/>
        </w:rPr>
        <w:t>التي يصبح التنفيذ بموجبها ممكناً ولكنه يرهق المدين إرهاقاً كبيراً ففي هذه الحالة لا ينقضي الالتزام إنما يخفف على نحو ما نصت عليه المادة  249 معاملات مدنية  "  إذا طرأت حوادث استثنائية عامة لم يكن في الوسع توقعها وترتب على حدوثها أن تنفيذ الالتزام التعاقدي وإن لم يصبح مستحيلا صار مرهقا للمدين بحيث يهدده بخسارة فادحة جاز للقاضي تبعا للظروف وبعد الموازنة بين مصلحة الطرفين أن يرد الالتزام المرهق إلى الحد المعقول إذا اقتضت العدالة ذلك ويقع باطلا كل اتفاق على خلاف ذلك " .</w:t>
      </w:r>
    </w:p>
    <w:p w14:paraId="0D3D4F1A" w14:textId="77777777" w:rsidR="00BC076D" w:rsidRPr="00650192"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041050CC"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ab/>
        <w:t xml:space="preserve">ويجب لتطبيق قاعدة </w:t>
      </w:r>
      <w:r w:rsidRPr="00385DB0">
        <w:rPr>
          <w:rFonts w:ascii="Simplified Arabic" w:eastAsia="Times New Roman" w:hAnsi="Simplified Arabic" w:cs="Simplified Arabic"/>
          <w:sz w:val="26"/>
          <w:szCs w:val="26"/>
          <w:rtl/>
          <w:lang w:val="en-AU" w:bidi="ar-AE"/>
        </w:rPr>
        <w:t>الإستحالة</w:t>
      </w:r>
      <w:r>
        <w:rPr>
          <w:rFonts w:ascii="Simplified Arabic" w:eastAsia="Times New Roman" w:hAnsi="Simplified Arabic" w:cs="Simplified Arabic" w:hint="cs"/>
          <w:sz w:val="26"/>
          <w:szCs w:val="26"/>
          <w:rtl/>
          <w:lang w:val="en-AU" w:bidi="ar-AE"/>
        </w:rPr>
        <w:t xml:space="preserve"> في التنفيذ</w:t>
      </w:r>
      <w:r w:rsidRPr="00385DB0">
        <w:rPr>
          <w:rFonts w:ascii="Simplified Arabic" w:eastAsia="Times New Roman" w:hAnsi="Simplified Arabic" w:cs="Simplified Arabic"/>
          <w:sz w:val="26"/>
          <w:szCs w:val="26"/>
          <w:rtl/>
          <w:lang w:val="en-AU" w:bidi="ar-AE"/>
        </w:rPr>
        <w:t xml:space="preserve"> المؤدية</w:t>
      </w:r>
      <w:r>
        <w:rPr>
          <w:rFonts w:ascii="Simplified Arabic" w:eastAsia="Times New Roman" w:hAnsi="Simplified Arabic" w:cs="Simplified Arabic" w:hint="cs"/>
          <w:sz w:val="26"/>
          <w:szCs w:val="26"/>
          <w:rtl/>
          <w:lang w:val="en-AU" w:bidi="ar-AE"/>
        </w:rPr>
        <w:t xml:space="preserve"> إلى</w:t>
      </w:r>
      <w:r w:rsidRPr="00385DB0">
        <w:rPr>
          <w:rtl/>
        </w:rPr>
        <w:t xml:space="preserve"> </w:t>
      </w:r>
      <w:r w:rsidRPr="00385DB0">
        <w:rPr>
          <w:rFonts w:ascii="Simplified Arabic" w:eastAsia="Times New Roman" w:hAnsi="Simplified Arabic" w:cs="Simplified Arabic"/>
          <w:sz w:val="26"/>
          <w:szCs w:val="26"/>
          <w:rtl/>
          <w:lang w:val="en-AU" w:bidi="ar-AE"/>
        </w:rPr>
        <w:t xml:space="preserve">انقضاء الالتزام </w:t>
      </w:r>
      <w:r>
        <w:rPr>
          <w:rFonts w:ascii="Simplified Arabic" w:eastAsia="Times New Roman" w:hAnsi="Simplified Arabic" w:cs="Simplified Arabic" w:hint="cs"/>
          <w:sz w:val="26"/>
          <w:szCs w:val="26"/>
          <w:rtl/>
          <w:lang w:val="en-AU" w:bidi="ar-AE"/>
        </w:rPr>
        <w:t>ومن ثم</w:t>
      </w:r>
      <w:r w:rsidRPr="00385DB0">
        <w:rPr>
          <w:rFonts w:ascii="Simplified Arabic" w:eastAsia="Times New Roman" w:hAnsi="Simplified Arabic" w:cs="Simplified Arabic"/>
          <w:sz w:val="26"/>
          <w:szCs w:val="26"/>
          <w:rtl/>
          <w:lang w:val="en-AU" w:bidi="ar-AE"/>
        </w:rPr>
        <w:t xml:space="preserve"> انقضاء الرهن</w:t>
      </w:r>
      <w:r w:rsidRPr="003459CA">
        <w:rPr>
          <w:rFonts w:ascii="Simplified Arabic" w:eastAsia="Times New Roman" w:hAnsi="Simplified Arabic" w:cs="Simplified Arabic"/>
          <w:sz w:val="26"/>
          <w:szCs w:val="26"/>
          <w:rtl/>
          <w:lang w:val="en-AU" w:bidi="ar-AE"/>
        </w:rPr>
        <w:t xml:space="preserve"> توافر الشروط التالية : </w:t>
      </w:r>
    </w:p>
    <w:p w14:paraId="5A79FB82" w14:textId="00F84601"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1 – أن تكون الاستحالة مطلقة ،</w:t>
      </w:r>
      <w:r>
        <w:rPr>
          <w:rFonts w:ascii="Simplified Arabic" w:eastAsia="Times New Roman" w:hAnsi="Simplified Arabic" w:cs="Simplified Arabic" w:hint="cs"/>
          <w:sz w:val="26"/>
          <w:szCs w:val="26"/>
          <w:rtl/>
          <w:lang w:val="en-AU" w:bidi="ar-AE"/>
        </w:rPr>
        <w:t xml:space="preserve"> بالمعنى السابق ،</w:t>
      </w:r>
      <w:r w:rsidRPr="003459CA">
        <w:rPr>
          <w:rFonts w:ascii="Simplified Arabic" w:eastAsia="Times New Roman" w:hAnsi="Simplified Arabic" w:cs="Simplified Arabic"/>
          <w:sz w:val="26"/>
          <w:szCs w:val="26"/>
          <w:rtl/>
          <w:lang w:val="en-AU" w:bidi="ar-AE"/>
        </w:rPr>
        <w:t xml:space="preserve"> ومعيار الاستحا</w:t>
      </w:r>
    </w:p>
    <w:p w14:paraId="4C414252"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75F68A91"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1 – أن تكون الاستحالة مطلقة ،</w:t>
      </w:r>
      <w:r>
        <w:rPr>
          <w:rFonts w:ascii="Simplified Arabic" w:eastAsia="Times New Roman" w:hAnsi="Simplified Arabic" w:cs="Simplified Arabic" w:hint="cs"/>
          <w:sz w:val="26"/>
          <w:szCs w:val="26"/>
          <w:rtl/>
          <w:lang w:val="en-AU" w:bidi="ar-AE"/>
        </w:rPr>
        <w:t xml:space="preserve"> بالمعنى السابق ،</w:t>
      </w:r>
      <w:r w:rsidRPr="003459CA">
        <w:rPr>
          <w:rFonts w:ascii="Simplified Arabic" w:eastAsia="Times New Roman" w:hAnsi="Simplified Arabic" w:cs="Simplified Arabic"/>
          <w:sz w:val="26"/>
          <w:szCs w:val="26"/>
          <w:rtl/>
          <w:lang w:val="en-AU" w:bidi="ar-AE"/>
        </w:rPr>
        <w:t xml:space="preserve"> ومعيار الاستحالة المطلقة موضوعي لا شخصي ، فتتحق</w:t>
      </w:r>
      <w:r w:rsidRPr="003459CA">
        <w:rPr>
          <w:rFonts w:ascii="Simplified Arabic" w:eastAsia="Times New Roman" w:hAnsi="Simplified Arabic" w:cs="Simplified Arabic" w:hint="cs"/>
          <w:sz w:val="26"/>
          <w:szCs w:val="26"/>
          <w:rtl/>
          <w:lang w:val="en-AU" w:bidi="ar-AE"/>
        </w:rPr>
        <w:t>ق</w:t>
      </w:r>
      <w:r w:rsidRPr="003459CA">
        <w:rPr>
          <w:rFonts w:ascii="Simplified Arabic" w:eastAsia="Times New Roman" w:hAnsi="Simplified Arabic" w:cs="Simplified Arabic"/>
          <w:sz w:val="26"/>
          <w:szCs w:val="26"/>
          <w:rtl/>
          <w:lang w:val="en-AU" w:bidi="ar-AE"/>
        </w:rPr>
        <w:t xml:space="preserve"> بالنظر إلى الشخص العادي عندما يكون في مثل ظروف المدين ، فإن كان تنفيذ الالتزام مستحيلاً بالنسبة للشخص العادي ، كان مستحيلاً بالنسبة للمدين ، فإن لم يكن كذلك ، ظل التزام المدين قائماً ولا يمكنه حينئذ التمسك باستحالة التنفيذ ، كما لا يكفي ان تكون الاستحالة مؤقتة </w:t>
      </w:r>
      <w:r w:rsidRPr="003459CA">
        <w:rPr>
          <w:rFonts w:ascii="Simplified Arabic" w:eastAsia="Times New Roman" w:hAnsi="Simplified Arabic" w:cs="Simplified Arabic" w:hint="cs"/>
          <w:sz w:val="26"/>
          <w:szCs w:val="26"/>
          <w:rtl/>
          <w:lang w:val="en-AU" w:bidi="ar-AE"/>
        </w:rPr>
        <w:t xml:space="preserve"> (</w:t>
      </w:r>
      <w:r w:rsidRPr="003459CA">
        <w:rPr>
          <w:rStyle w:val="FootnoteReference"/>
          <w:rFonts w:ascii="Simplified Arabic" w:eastAsia="Times New Roman" w:hAnsi="Simplified Arabic" w:cs="Simplified Arabic"/>
          <w:sz w:val="26"/>
          <w:szCs w:val="26"/>
          <w:rtl/>
          <w:lang w:val="en-AU" w:bidi="ar-AE"/>
        </w:rPr>
        <w:footnoteReference w:id="13"/>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w:t>
      </w:r>
    </w:p>
    <w:p w14:paraId="0E2ED3F7"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w:t>
      </w:r>
    </w:p>
    <w:p w14:paraId="358664C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2 – أن ترجع الاستحالة إلى السبب الأجنبي وهو القوة القاهرة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و الحادث الفجائي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و خطأ أو فعل الغير . فينقضى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لتزام المدين -  فلا يسال عن تنفيذ عيني ولا تنفيذ بطريق التعويض ، ويتحمل المدين إثبات السبب الأجنبي بكافة طرق الإثبات، ولمحكمة الموضوع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ستخلاص السبب الأجنبي دون معقب عليها في ذلك من محكمة النقض متى أقامت قضاءها على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سباب سائغة</w:t>
      </w:r>
      <w:r w:rsidRPr="003459CA">
        <w:rPr>
          <w:rFonts w:ascii="Simplified Arabic" w:eastAsia="Times New Roman" w:hAnsi="Simplified Arabic" w:cs="Simplified Arabic" w:hint="cs"/>
          <w:sz w:val="26"/>
          <w:szCs w:val="26"/>
          <w:rtl/>
          <w:lang w:val="en-AU" w:bidi="ar-AE"/>
        </w:rPr>
        <w:t xml:space="preserve"> ( </w:t>
      </w:r>
      <w:r w:rsidRPr="003459CA">
        <w:rPr>
          <w:rStyle w:val="FootnoteReference"/>
          <w:rFonts w:ascii="Simplified Arabic" w:eastAsia="Times New Roman" w:hAnsi="Simplified Arabic" w:cs="Simplified Arabic"/>
          <w:sz w:val="26"/>
          <w:szCs w:val="26"/>
          <w:rtl/>
          <w:lang w:val="en-AU" w:bidi="ar-AE"/>
        </w:rPr>
        <w:footnoteReference w:id="14"/>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w:t>
      </w:r>
    </w:p>
    <w:p w14:paraId="7FD5DD8B"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4AA10BDD" w14:textId="77777777" w:rsidR="00BC076D" w:rsidRDefault="00BC076D" w:rsidP="00BC076D">
      <w:pPr>
        <w:bidi/>
        <w:spacing w:after="0" w:line="240" w:lineRule="auto"/>
        <w:ind w:firstLine="720"/>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أما إن رجعت الاستحالة إلى فعل المدين ، كما إذا كان قد هدم العقار أو أتلف المنقول المبيع أو أهمل في المحافظة عليه فسرق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و تلف ، فإن الالتزام لا ينقضي رغم استحالة التنفيذ فيظل قائما ، وللدائن أن يتخلى عن التنفيذ العيني إذا شاء ، إذ له في حالة هدم العقار أن يطلب التنفيذ العيني بالنسبة للأرض التي كان عليها البناء وتكملة التنفيذ بطريق التعويض ، فإن تخلى عن التنفيذ العيني لجأ الى تنفيذ ذات الالتزام بطريق التعويض فتظل لل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لتزام تأميناته وتكون ضامنة للتعويض، كما يظل ذات التقادم سارياً فإن اكتمل بعد استحالة التنفيذ سقط الحق في التعويض لانقضاء الالتزام بالتقادم .</w:t>
      </w:r>
    </w:p>
    <w:p w14:paraId="1AF6E189"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34CD5CF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4AEB4E29"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lastRenderedPageBreak/>
        <w:t xml:space="preserve">وذلك بحسب نص </w:t>
      </w:r>
      <w:r w:rsidRPr="00924217">
        <w:rPr>
          <w:rFonts w:ascii="Simplified Arabic" w:eastAsia="Times New Roman" w:hAnsi="Simplified Arabic" w:cs="Simplified Arabic"/>
          <w:sz w:val="26"/>
          <w:szCs w:val="26"/>
          <w:rtl/>
          <w:lang w:val="en-AU" w:bidi="ar-AE"/>
        </w:rPr>
        <w:t xml:space="preserve">المادة </w:t>
      </w:r>
      <w:r>
        <w:rPr>
          <w:rFonts w:ascii="Simplified Arabic" w:eastAsia="Times New Roman" w:hAnsi="Simplified Arabic" w:cs="Simplified Arabic" w:hint="cs"/>
          <w:sz w:val="26"/>
          <w:szCs w:val="26"/>
          <w:rtl/>
          <w:lang w:val="en-AU" w:bidi="ar-AE"/>
        </w:rPr>
        <w:t>386</w:t>
      </w:r>
      <w:r>
        <w:rPr>
          <w:rFonts w:ascii="Simplified Arabic" w:eastAsia="Times New Roman" w:hAnsi="Simplified Arabic" w:cs="Simplified Arabic" w:hint="cs"/>
          <w:sz w:val="26"/>
          <w:szCs w:val="26"/>
          <w:rtl/>
        </w:rPr>
        <w:t xml:space="preserve"> معاملات مدنية : " </w:t>
      </w:r>
      <w:r w:rsidRPr="00924217">
        <w:rPr>
          <w:rFonts w:ascii="Simplified Arabic" w:eastAsia="Times New Roman" w:hAnsi="Simplified Arabic" w:cs="Simplified Arabic"/>
          <w:sz w:val="26"/>
          <w:szCs w:val="26"/>
          <w:rtl/>
          <w:lang w:val="en-AU" w:bidi="ar-AE"/>
        </w:rPr>
        <w:t>إذا استحال على المدين أن ينفذ الالتزام عينا حكم عليه بالتعويض لعدم الوفاء بالتزامه ما لم يثبت إن استحالة التنفيذ قد نشأت عن سبب أجنبي لا يد له فيه. ويكون الحكم كذلك إذا تأخر المدين في تنفيذ التزامه.</w:t>
      </w:r>
    </w:p>
    <w:p w14:paraId="402252DC"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7FD1A533" w14:textId="77777777" w:rsidR="00BC076D" w:rsidRPr="003459CA" w:rsidRDefault="00BC076D" w:rsidP="00BC076D">
      <w:pPr>
        <w:bidi/>
        <w:spacing w:after="0" w:line="240" w:lineRule="auto"/>
        <w:ind w:firstLine="720"/>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وإن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ختلطت الاستحالة بالسبب الأجنبي وبخطأ المدين ، كما لو سرق المبيع أو</w:t>
      </w:r>
      <w:r w:rsidRPr="003459CA">
        <w:rPr>
          <w:rFonts w:ascii="Simplified Arabic" w:eastAsia="Times New Roman" w:hAnsi="Simplified Arabic" w:cs="Simplified Arabic"/>
          <w:sz w:val="26"/>
          <w:szCs w:val="26"/>
          <w:lang w:val="en-AU" w:bidi="ar-AE"/>
        </w:rPr>
        <w:t xml:space="preserve"> </w:t>
      </w:r>
      <w:r w:rsidRPr="003459CA">
        <w:rPr>
          <w:rFonts w:ascii="Simplified Arabic" w:eastAsia="Times New Roman" w:hAnsi="Simplified Arabic" w:cs="Simplified Arabic"/>
          <w:sz w:val="26"/>
          <w:szCs w:val="26"/>
          <w:rtl/>
          <w:lang w:val="en-AU" w:bidi="ar-AE"/>
        </w:rPr>
        <w:t xml:space="preserve">تلف بتقصير من المدين ، فلا يعتد بالسبب الأجنبي ، ويظل الالتزام قائماً وينفذ على المدين بطريق التعويض ، وكذلك الأمر إذا أعذر المدين بالوفاء ثم هلك المحل بسبب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جنبي ، فلا يعتد بهذا السبب وينفذ الالتزام بطريق التعويض.</w:t>
      </w:r>
    </w:p>
    <w:p w14:paraId="28BB8938"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3D8BEE34"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3 – ألا يكون المدين قد تحمل تبعة الهلاك الناشئ عن السبب الأجنبي ، وهو شرط صحيح . فإن جاء العقد خلوا منه ، و</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ستحال التنفيذ لسبب أجنبي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نقضى الالتزام على نحو ما تقد</w:t>
      </w:r>
      <w:r>
        <w:rPr>
          <w:rFonts w:ascii="Simplified Arabic" w:eastAsia="Times New Roman" w:hAnsi="Simplified Arabic" w:cs="Simplified Arabic"/>
          <w:sz w:val="26"/>
          <w:szCs w:val="26"/>
          <w:rtl/>
          <w:lang w:val="en-AU" w:bidi="ar-AE"/>
        </w:rPr>
        <w:t xml:space="preserve">م . </w:t>
      </w:r>
    </w:p>
    <w:p w14:paraId="3C3E17F5"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4 -  أن يثبت المدين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تنفيذ التزامه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صبح مستحيلاً عليه لسبب أجنبي لا يد له فيه ، ذلك أن عدم قيام المدين بتنفيذ التزامه ، يتوافر به الخط</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 في جانبه ، ولا ينفي عنه هذا الخط</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 إلا إذا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ثبت أن عدم التنفيذ يرجع إلى سبب أجنبي لا يد له فيه ، وله أن يثبت ذلك بكافة الطرق بما فيها البينة والقرائن لورود الإثبات على واقعة مادية ، فإن عجز عن ذلك ، أو لم يتمسك بالسبب الأجنبي ، تحققت مسئوليته ، دون أن يكلف الدائن بإثبات خطأ المدين ، إذ يتحقق خطأ المدين بمجرد عدم تنفيذه 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لتزامه (</w:t>
      </w:r>
      <w:r w:rsidRPr="003459CA">
        <w:rPr>
          <w:rStyle w:val="FootnoteReference"/>
          <w:rFonts w:ascii="Simplified Arabic" w:eastAsia="Times New Roman" w:hAnsi="Simplified Arabic" w:cs="Simplified Arabic"/>
          <w:sz w:val="26"/>
          <w:szCs w:val="26"/>
          <w:rtl/>
          <w:lang w:val="en-AU" w:bidi="ar-AE"/>
        </w:rPr>
        <w:footnoteReference w:id="15"/>
      </w:r>
      <w:r w:rsidRPr="003459CA">
        <w:rPr>
          <w:rFonts w:ascii="Simplified Arabic" w:eastAsia="Times New Roman" w:hAnsi="Simplified Arabic" w:cs="Simplified Arabic"/>
          <w:sz w:val="26"/>
          <w:szCs w:val="26"/>
          <w:rtl/>
          <w:lang w:val="en-AU" w:bidi="ar-AE"/>
        </w:rPr>
        <w:t xml:space="preserve">) .   </w:t>
      </w:r>
    </w:p>
    <w:p w14:paraId="3529EE64"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w:t>
      </w:r>
    </w:p>
    <w:p w14:paraId="24AB4ABF" w14:textId="77777777" w:rsidR="00BC076D"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63</w:t>
      </w:r>
      <w:r w:rsidRPr="003459CA">
        <w:rPr>
          <w:rFonts w:ascii="Simplified Arabic" w:eastAsia="Times New Roman" w:hAnsi="Simplified Arabic" w:cs="Simplified Arabic" w:hint="cs"/>
          <w:b/>
          <w:bCs/>
          <w:sz w:val="26"/>
          <w:szCs w:val="26"/>
          <w:rtl/>
          <w:lang w:val="en-AU" w:bidi="ar-AE"/>
        </w:rPr>
        <w:t xml:space="preserve"> - </w:t>
      </w:r>
      <w:r w:rsidRPr="003459CA">
        <w:rPr>
          <w:rFonts w:ascii="Simplified Arabic" w:eastAsia="Times New Roman" w:hAnsi="Simplified Arabic" w:cs="Simplified Arabic"/>
          <w:b/>
          <w:bCs/>
          <w:sz w:val="26"/>
          <w:szCs w:val="26"/>
          <w:rtl/>
          <w:lang w:val="en-AU" w:bidi="ar-AE"/>
        </w:rPr>
        <w:t>ويترتب على استحالة تنفيذ الالتزام بسبب أجنبي ، أن ينقضي هذا الالتزام ، وينقضي معه الرهن</w:t>
      </w:r>
      <w:r w:rsidRPr="00B12278">
        <w:rPr>
          <w:rtl/>
        </w:rPr>
        <w:t xml:space="preserve"> </w:t>
      </w:r>
      <w:r w:rsidRPr="00B12278">
        <w:rPr>
          <w:rFonts w:ascii="Simplified Arabic" w:eastAsia="Times New Roman" w:hAnsi="Simplified Arabic" w:cs="Simplified Arabic"/>
          <w:b/>
          <w:bCs/>
          <w:sz w:val="26"/>
          <w:szCs w:val="26"/>
          <w:rtl/>
          <w:lang w:val="en-AU" w:bidi="ar-AE"/>
        </w:rPr>
        <w:t xml:space="preserve">التأميني </w:t>
      </w:r>
      <w:r w:rsidRPr="003459CA">
        <w:rPr>
          <w:rFonts w:ascii="Simplified Arabic" w:eastAsia="Times New Roman" w:hAnsi="Simplified Arabic" w:cs="Simplified Arabic"/>
          <w:b/>
          <w:bCs/>
          <w:sz w:val="26"/>
          <w:szCs w:val="26"/>
          <w:rtl/>
          <w:lang w:val="en-AU" w:bidi="ar-AE"/>
        </w:rPr>
        <w:t>الذي كان يكفله .</w:t>
      </w:r>
    </w:p>
    <w:p w14:paraId="511F632D" w14:textId="77777777" w:rsidR="00BC076D" w:rsidRDefault="00BC076D" w:rsidP="00BC076D">
      <w:pPr>
        <w:bidi/>
        <w:rPr>
          <w:rtl/>
          <w:lang w:bidi="ar-AE"/>
        </w:rPr>
      </w:pPr>
    </w:p>
    <w:p w14:paraId="209FB82A" w14:textId="77777777" w:rsidR="00BC076D" w:rsidRPr="003459CA"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p>
    <w:p w14:paraId="2A68E45F"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b/>
          <w:bCs/>
          <w:sz w:val="26"/>
          <w:szCs w:val="26"/>
          <w:rtl/>
          <w:lang w:val="en-AU" w:bidi="ar-AE"/>
        </w:rPr>
        <w:tab/>
      </w:r>
      <w:r w:rsidRPr="003459CA">
        <w:rPr>
          <w:rFonts w:ascii="Simplified Arabic" w:eastAsia="Times New Roman" w:hAnsi="Simplified Arabic" w:cs="Simplified Arabic"/>
          <w:sz w:val="26"/>
          <w:szCs w:val="26"/>
          <w:rtl/>
          <w:lang w:val="en-AU" w:bidi="ar-AE"/>
        </w:rPr>
        <w:t xml:space="preserve">ولا ينقضي الرهن </w:t>
      </w:r>
      <w:r w:rsidRPr="00B12278">
        <w:rPr>
          <w:rFonts w:ascii="Simplified Arabic" w:eastAsia="Times New Roman" w:hAnsi="Simplified Arabic" w:cs="Simplified Arabic"/>
          <w:sz w:val="26"/>
          <w:szCs w:val="26"/>
          <w:rtl/>
          <w:lang w:val="en-AU" w:bidi="ar-AE"/>
        </w:rPr>
        <w:t>التأميني</w:t>
      </w:r>
      <w:r w:rsidRPr="003459CA">
        <w:rPr>
          <w:rFonts w:ascii="Simplified Arabic" w:eastAsia="Times New Roman" w:hAnsi="Simplified Arabic" w:cs="Simplified Arabic"/>
          <w:sz w:val="26"/>
          <w:szCs w:val="26"/>
          <w:rtl/>
          <w:lang w:val="en-AU" w:bidi="ar-AE"/>
        </w:rPr>
        <w:t xml:space="preserve"> فقط </w:t>
      </w:r>
      <w:r w:rsidRPr="003459CA">
        <w:rPr>
          <w:rFonts w:ascii="Simplified Arabic" w:eastAsia="Times New Roman" w:hAnsi="Simplified Arabic" w:cs="Simplified Arabic"/>
          <w:sz w:val="26"/>
          <w:szCs w:val="26"/>
          <w:rtl/>
          <w:lang w:val="en-AU"/>
        </w:rPr>
        <w:t>، بل تنقضي جميع توابع الالتزام ، وبخاصة تنقضي جميع التأمينات العينية والشخصية التي كانت تكفله .</w:t>
      </w:r>
    </w:p>
    <w:p w14:paraId="150DE46F"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 فإذا كان هناك رهن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و حق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متياز أو حق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ختصاص يكفل الالتزام قبل استحالة تنفيذه ، فإن هذه الحقوق العينية تنقضي بانقضاء الالتزام ، ويجب على المدين محو القيد الذي كان يشهر هذه التأمينات . </w:t>
      </w:r>
    </w:p>
    <w:p w14:paraId="51013A95"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Pr>
          <w:rFonts w:ascii="Simplified Arabic" w:eastAsia="Times New Roman" w:hAnsi="Simplified Arabic" w:cs="Simplified Arabic"/>
          <w:sz w:val="26"/>
          <w:szCs w:val="26"/>
          <w:rtl/>
          <w:lang w:val="en-AU"/>
        </w:rPr>
        <w:t>وإذا كان لل</w:t>
      </w:r>
      <w:r>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لتزام كفيل ، عيني أو شخصي ، ثم </w:t>
      </w:r>
      <w:r>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ستحال تنفيذ الالتزام بسبب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جنبي فانقضى وبرئت ذمة المدين منه ، فإن ذمة الكفيل العيني أو الشخصي تبرأ تبعاً لبراءة ذمة المدين . </w:t>
      </w:r>
    </w:p>
    <w:p w14:paraId="3731522D"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p>
    <w:p w14:paraId="7A2A5F56"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ab/>
        <w:t>ومتى انقضى الالتزام وتوابعه ، فإن المدين يلتزم ب</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ينزل للدائن عما قد يكون له من حق أو دعوى في التعويض عن الشئ الذي هلك . فإذا كان الشئ مؤمناً عليه فاستحق المدين مبلغ التأمين ، أو كان هلاك الشئ بفعل أجنبي فاستحق المدين التعويض ، وجب على المدين أن ينقل للدائن حقه في مبلغ التأمين أو حقه في التعويض (</w:t>
      </w:r>
      <w:r w:rsidRPr="003459CA">
        <w:rPr>
          <w:rStyle w:val="FootnoteReference"/>
          <w:rFonts w:ascii="Simplified Arabic" w:eastAsia="Times New Roman" w:hAnsi="Simplified Arabic" w:cs="Simplified Arabic"/>
          <w:sz w:val="26"/>
          <w:szCs w:val="26"/>
          <w:rtl/>
          <w:lang w:val="en-AU"/>
        </w:rPr>
        <w:footnoteReference w:id="16"/>
      </w:r>
      <w:r w:rsidRPr="003459CA">
        <w:rPr>
          <w:rFonts w:ascii="Simplified Arabic" w:eastAsia="Times New Roman" w:hAnsi="Simplified Arabic" w:cs="Simplified Arabic"/>
          <w:sz w:val="26"/>
          <w:szCs w:val="26"/>
          <w:rtl/>
          <w:lang w:val="en-AU"/>
        </w:rPr>
        <w:t xml:space="preserve"> ) .</w:t>
      </w:r>
    </w:p>
    <w:p w14:paraId="46986206"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rPr>
      </w:pPr>
    </w:p>
    <w:p w14:paraId="5EF55CB7" w14:textId="77777777" w:rsidR="00BC076D" w:rsidRPr="006545D0" w:rsidRDefault="00BC076D" w:rsidP="00BC076D">
      <w:pPr>
        <w:bidi/>
        <w:spacing w:after="0" w:line="240" w:lineRule="auto"/>
        <w:jc w:val="both"/>
        <w:rPr>
          <w:rFonts w:ascii="Simplified Arabic" w:eastAsia="Times New Roman" w:hAnsi="Simplified Arabic" w:cs="Simplified Arabic"/>
          <w:color w:val="FF0000"/>
          <w:sz w:val="26"/>
          <w:szCs w:val="26"/>
          <w:rtl/>
          <w:lang w:val="en-AU"/>
        </w:rPr>
      </w:pPr>
    </w:p>
    <w:p w14:paraId="05F2BED6"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sz w:val="30"/>
          <w:szCs w:val="30"/>
          <w:rtl/>
          <w:lang w:val="en-AU" w:bidi="ar-AE"/>
        </w:rPr>
      </w:pPr>
      <w:r>
        <w:rPr>
          <w:rFonts w:ascii="Simplified Arabic" w:eastAsia="Times New Roman" w:hAnsi="Simplified Arabic" w:cs="Simplified Arabic" w:hint="cs"/>
          <w:b/>
          <w:bCs/>
          <w:sz w:val="30"/>
          <w:szCs w:val="30"/>
          <w:rtl/>
          <w:lang w:val="en-AU" w:bidi="ar-AE"/>
        </w:rPr>
        <w:t>الفرع الثالث</w:t>
      </w:r>
    </w:p>
    <w:p w14:paraId="4C8FCFDD" w14:textId="77777777" w:rsidR="00BC076D" w:rsidRDefault="00BC076D" w:rsidP="00BC076D">
      <w:pPr>
        <w:bidi/>
        <w:spacing w:after="0" w:line="240" w:lineRule="auto"/>
        <w:ind w:firstLine="567"/>
        <w:jc w:val="center"/>
        <w:rPr>
          <w:rFonts w:ascii="Simplified Arabic" w:eastAsia="Times New Roman" w:hAnsi="Simplified Arabic" w:cs="Simplified Arabic"/>
          <w:b/>
          <w:bCs/>
          <w:sz w:val="30"/>
          <w:szCs w:val="30"/>
          <w:rtl/>
          <w:lang w:val="en-AU" w:bidi="ar-AE"/>
        </w:rPr>
      </w:pPr>
      <w:r w:rsidRPr="00414CD1">
        <w:rPr>
          <w:rFonts w:ascii="Simplified Arabic" w:eastAsia="Times New Roman" w:hAnsi="Simplified Arabic" w:cs="Simplified Arabic"/>
          <w:b/>
          <w:bCs/>
          <w:sz w:val="30"/>
          <w:szCs w:val="30"/>
          <w:rtl/>
          <w:lang w:val="en-AU" w:bidi="ar-AE"/>
        </w:rPr>
        <w:t xml:space="preserve">مرور الزمان المانع من سماع الدعوى </w:t>
      </w:r>
    </w:p>
    <w:p w14:paraId="44262CFF"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sz w:val="30"/>
          <w:szCs w:val="30"/>
          <w:lang w:val="en-AU" w:bidi="ar-AE"/>
        </w:rPr>
      </w:pPr>
      <w:r w:rsidRPr="003459CA">
        <w:rPr>
          <w:rFonts w:ascii="Simplified Arabic" w:eastAsia="Times New Roman" w:hAnsi="Simplified Arabic" w:cs="Simplified Arabic" w:hint="cs"/>
          <w:b/>
          <w:bCs/>
          <w:sz w:val="30"/>
          <w:szCs w:val="30"/>
          <w:rtl/>
          <w:lang w:val="en-AU" w:bidi="ar-AE"/>
        </w:rPr>
        <w:t>كسبب لانقضاء الرهن</w:t>
      </w:r>
    </w:p>
    <w:p w14:paraId="0799191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12"/>
          <w:szCs w:val="12"/>
          <w:rtl/>
          <w:lang w:val="en-AU"/>
        </w:rPr>
      </w:pPr>
    </w:p>
    <w:p w14:paraId="5C58C81D" w14:textId="17636045" w:rsidR="00BC076D" w:rsidRDefault="00BC076D" w:rsidP="00BC076D">
      <w:pPr>
        <w:bidi/>
        <w:rPr>
          <w:rFonts w:ascii="Simplified Arabic" w:eastAsia="Times New Roman" w:hAnsi="Simplified Arabic" w:cs="Simplified Arabic"/>
          <w:sz w:val="26"/>
          <w:szCs w:val="26"/>
          <w:rtl/>
          <w:lang w:val="en-AU"/>
        </w:rPr>
      </w:pPr>
      <w:r>
        <w:rPr>
          <w:rFonts w:ascii="Simplified Arabic" w:eastAsia="Times New Roman" w:hAnsi="Simplified Arabic" w:cs="Simplified Arabic" w:hint="cs"/>
          <w:b/>
          <w:bCs/>
          <w:sz w:val="26"/>
          <w:szCs w:val="26"/>
          <w:rtl/>
          <w:lang w:val="en-AU"/>
        </w:rPr>
        <w:t>64</w:t>
      </w:r>
      <w:r w:rsidRPr="003459CA">
        <w:rPr>
          <w:rFonts w:ascii="Simplified Arabic" w:eastAsia="Times New Roman" w:hAnsi="Simplified Arabic" w:cs="Simplified Arabic"/>
          <w:b/>
          <w:bCs/>
          <w:sz w:val="26"/>
          <w:szCs w:val="26"/>
          <w:rtl/>
          <w:lang w:val="en-AU"/>
        </w:rPr>
        <w:t>- تعريف</w:t>
      </w:r>
      <w:r w:rsidRPr="003459CA">
        <w:rPr>
          <w:rFonts w:ascii="Simplified Arabic" w:hAnsi="Simplified Arabic" w:cs="Simplified Arabic"/>
          <w:b/>
          <w:bCs/>
          <w:sz w:val="20"/>
          <w:szCs w:val="20"/>
          <w:rtl/>
        </w:rPr>
        <w:t xml:space="preserve"> </w:t>
      </w:r>
      <w:r w:rsidRPr="003459CA">
        <w:rPr>
          <w:rFonts w:ascii="Simplified Arabic" w:eastAsia="Times New Roman" w:hAnsi="Simplified Arabic" w:cs="Simplified Arabic"/>
          <w:b/>
          <w:bCs/>
          <w:sz w:val="26"/>
          <w:szCs w:val="26"/>
          <w:rtl/>
          <w:lang w:val="en-AU"/>
        </w:rPr>
        <w:t>التقادم المسقط ( أو مرور الزمان المسقط  ) :</w:t>
      </w:r>
      <w:r w:rsidRPr="003459CA">
        <w:rPr>
          <w:rFonts w:ascii="Simplified Arabic" w:eastAsia="Times New Roman" w:hAnsi="Simplified Arabic" w:cs="Simplified Arabic"/>
          <w:sz w:val="26"/>
          <w:szCs w:val="26"/>
          <w:rtl/>
          <w:lang w:val="en-AU"/>
        </w:rPr>
        <w:t xml:space="preserve"> مرور الزمان المسقط هو مضي مدة معينة على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ستحقاق الدين دون أن يطالب الدائن به فيترتب على ذلك سقوط</w:t>
      </w:r>
    </w:p>
    <w:p w14:paraId="2245E10C" w14:textId="77777777" w:rsidR="00BC076D" w:rsidRDefault="00BC076D" w:rsidP="00BC076D">
      <w:pPr>
        <w:bidi/>
        <w:rPr>
          <w:rFonts w:ascii="Simplified Arabic" w:eastAsia="Times New Roman" w:hAnsi="Simplified Arabic" w:cs="Simplified Arabic"/>
          <w:sz w:val="26"/>
          <w:szCs w:val="26"/>
          <w:rtl/>
          <w:lang w:val="en-AU"/>
        </w:rPr>
      </w:pPr>
    </w:p>
    <w:p w14:paraId="3E3831DA"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حقه في المطالبة إذا تمسك بالتقادم من له مصلحة فيه ومن ثم يعد التقادم سبباً من أسباب انقضاء الالتزام ، إذا تمسك به من له مصلحة فيه ، وذلك عند مضي مدة معينة يحددها القانون منذ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ستحقاق الدين ، دون أن يطالب به الدائن  . </w:t>
      </w:r>
    </w:p>
    <w:p w14:paraId="0CDD521D"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وقيل في تفسير التقادم أنه يعتبر قرينة على النزول عن الحق ، فمن يترك ملكه في يد الغير مدة معينة ، ومن سكت عن المطالبة بدينه مدة معينة ، يفترض فيه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نه نزل عن حقه</w:t>
      </w:r>
      <w:r w:rsidRPr="003459CA">
        <w:rPr>
          <w:rFonts w:ascii="Simplified Arabic" w:eastAsia="Times New Roman" w:hAnsi="Simplified Arabic" w:cs="Simplified Arabic" w:hint="cs"/>
          <w:sz w:val="26"/>
          <w:szCs w:val="26"/>
          <w:rtl/>
          <w:lang w:val="en-AU"/>
        </w:rPr>
        <w:t xml:space="preserve"> ،</w:t>
      </w:r>
      <w:r w:rsidRPr="003459CA">
        <w:rPr>
          <w:rFonts w:ascii="Simplified Arabic" w:eastAsia="Times New Roman" w:hAnsi="Simplified Arabic" w:cs="Simplified Arabic"/>
          <w:sz w:val="26"/>
          <w:szCs w:val="26"/>
          <w:rtl/>
          <w:lang w:val="en-AU"/>
        </w:rPr>
        <w:t xml:space="preserve"> مع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النزول لا يفترض ، ولو صح هذا ال</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فتراض لكان لمن يسري التقادم ضده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ي</w:t>
      </w:r>
      <w:r w:rsidRPr="003459CA">
        <w:rPr>
          <w:rFonts w:ascii="Simplified Arabic" w:eastAsia="Times New Roman" w:hAnsi="Simplified Arabic" w:cs="Simplified Arabic" w:hint="cs"/>
          <w:sz w:val="26"/>
          <w:szCs w:val="26"/>
          <w:rtl/>
          <w:lang w:val="en-AU"/>
        </w:rPr>
        <w:t>دح</w:t>
      </w:r>
      <w:r w:rsidRPr="003459CA">
        <w:rPr>
          <w:rFonts w:ascii="Simplified Arabic" w:eastAsia="Times New Roman" w:hAnsi="Simplified Arabic" w:cs="Simplified Arabic"/>
          <w:sz w:val="26"/>
          <w:szCs w:val="26"/>
          <w:rtl/>
          <w:lang w:val="en-AU"/>
        </w:rPr>
        <w:t>ضه بالدليل العكسي ، وهو أمر لا يجوز</w:t>
      </w:r>
      <w:r w:rsidRPr="003459CA">
        <w:rPr>
          <w:rFonts w:ascii="Simplified Arabic" w:eastAsia="Times New Roman" w:hAnsi="Simplified Arabic" w:cs="Simplified Arabic" w:hint="cs"/>
          <w:sz w:val="26"/>
          <w:szCs w:val="26"/>
          <w:rtl/>
          <w:lang w:val="en-AU"/>
        </w:rPr>
        <w:t>(</w:t>
      </w:r>
      <w:r w:rsidRPr="003459CA">
        <w:rPr>
          <w:rStyle w:val="FootnoteReference"/>
          <w:rFonts w:ascii="Simplified Arabic" w:eastAsia="Times New Roman" w:hAnsi="Simplified Arabic" w:cs="Simplified Arabic"/>
          <w:sz w:val="26"/>
          <w:szCs w:val="26"/>
          <w:rtl/>
          <w:lang w:val="en-AU"/>
        </w:rPr>
        <w:footnoteReference w:id="17"/>
      </w:r>
      <w:r w:rsidRPr="003459CA">
        <w:rPr>
          <w:rFonts w:ascii="Simplified Arabic" w:eastAsia="Times New Roman" w:hAnsi="Simplified Arabic" w:cs="Simplified Arabic" w:hint="cs"/>
          <w:sz w:val="26"/>
          <w:szCs w:val="26"/>
          <w:rtl/>
          <w:lang w:val="en-AU"/>
        </w:rPr>
        <w:t xml:space="preserve"> )</w:t>
      </w:r>
      <w:r w:rsidRPr="003459CA">
        <w:rPr>
          <w:rFonts w:ascii="Simplified Arabic" w:eastAsia="Times New Roman" w:hAnsi="Simplified Arabic" w:cs="Simplified Arabic"/>
          <w:sz w:val="26"/>
          <w:szCs w:val="26"/>
          <w:rtl/>
          <w:lang w:val="en-AU"/>
        </w:rPr>
        <w:t xml:space="preserve"> .</w:t>
      </w:r>
    </w:p>
    <w:p w14:paraId="21A3EBD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18"/>
          <w:szCs w:val="18"/>
          <w:rtl/>
          <w:lang w:val="en-AU"/>
        </w:rPr>
      </w:pPr>
    </w:p>
    <w:p w14:paraId="289A7D2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وقيل أنه يعتبر قرينة على الوفاء </w:t>
      </w:r>
      <w:r w:rsidRPr="003459CA">
        <w:rPr>
          <w:rFonts w:ascii="Simplified Arabic" w:eastAsia="Times New Roman" w:hAnsi="Simplified Arabic" w:cs="Simplified Arabic" w:hint="cs"/>
          <w:sz w:val="26"/>
          <w:szCs w:val="26"/>
          <w:rtl/>
          <w:lang w:val="en-AU"/>
        </w:rPr>
        <w:t>بالدين (</w:t>
      </w:r>
      <w:r w:rsidRPr="003459CA">
        <w:rPr>
          <w:rStyle w:val="FootnoteReference"/>
          <w:rFonts w:ascii="Simplified Arabic" w:eastAsia="Times New Roman" w:hAnsi="Simplified Arabic" w:cs="Simplified Arabic"/>
          <w:sz w:val="26"/>
          <w:szCs w:val="26"/>
          <w:rtl/>
          <w:lang w:val="en-AU"/>
        </w:rPr>
        <w:footnoteReference w:id="18"/>
      </w:r>
      <w:r w:rsidRPr="003459CA">
        <w:rPr>
          <w:rFonts w:ascii="Simplified Arabic" w:eastAsia="Times New Roman" w:hAnsi="Simplified Arabic" w:cs="Simplified Arabic" w:hint="cs"/>
          <w:sz w:val="26"/>
          <w:szCs w:val="26"/>
          <w:rtl/>
          <w:lang w:val="en-AU"/>
        </w:rPr>
        <w:t xml:space="preserve"> ) </w:t>
      </w:r>
      <w:r w:rsidRPr="003459CA">
        <w:rPr>
          <w:rFonts w:ascii="Simplified Arabic" w:eastAsia="Times New Roman" w:hAnsi="Simplified Arabic" w:cs="Simplified Arabic"/>
          <w:sz w:val="26"/>
          <w:szCs w:val="26"/>
          <w:rtl/>
          <w:lang w:val="en-AU"/>
        </w:rPr>
        <w:t xml:space="preserve">. مع أن إثبات العكس في الحالتين لا يجوز ، والواقع أن رد التقادم إلى </w:t>
      </w:r>
      <w:r>
        <w:rPr>
          <w:rFonts w:ascii="Simplified Arabic" w:eastAsia="Times New Roman" w:hAnsi="Simplified Arabic" w:cs="Simplified Arabic" w:hint="cs"/>
          <w:sz w:val="26"/>
          <w:szCs w:val="26"/>
          <w:rtl/>
          <w:lang w:val="en-AU"/>
        </w:rPr>
        <w:t>إ</w:t>
      </w:r>
      <w:r w:rsidRPr="003459CA">
        <w:rPr>
          <w:rFonts w:ascii="Simplified Arabic" w:eastAsia="Times New Roman" w:hAnsi="Simplified Arabic" w:cs="Simplified Arabic"/>
          <w:sz w:val="26"/>
          <w:szCs w:val="26"/>
          <w:rtl/>
          <w:lang w:val="en-AU"/>
        </w:rPr>
        <w:t xml:space="preserve">عتبارات فردية من هذا القبيل تفسير غير صحيح . ذلك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ن التقادم يقوم على أساس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عتبارات عامة تتصل بالصالح العام للمجتمع ب</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سره ، فهو يستند إلى ضرورة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جتماعية تجعله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لزم ما يكون لنظام المجتمع . حيث يتعين أن يوضع حد للمنازعة في أمر معين ، وبدون ذلك لا يمكن لأحد أن</w:t>
      </w:r>
      <w:r w:rsidRPr="003459CA">
        <w:rPr>
          <w:rFonts w:ascii="Simplified Arabic" w:eastAsia="Times New Roman" w:hAnsi="Simplified Arabic" w:cs="Simplified Arabic" w:hint="cs"/>
          <w:sz w:val="26"/>
          <w:szCs w:val="26"/>
          <w:rtl/>
          <w:lang w:val="en-AU"/>
        </w:rPr>
        <w:t xml:space="preserve"> </w:t>
      </w:r>
      <w:r w:rsidRPr="003459CA">
        <w:rPr>
          <w:rFonts w:ascii="Simplified Arabic" w:eastAsia="Times New Roman" w:hAnsi="Simplified Arabic" w:cs="Simplified Arabic"/>
          <w:sz w:val="26"/>
          <w:szCs w:val="26"/>
          <w:rtl/>
          <w:lang w:val="en-AU"/>
        </w:rPr>
        <w:t>يطمئن إلى بقائه مالكاً أو إلى برا</w:t>
      </w:r>
      <w:r w:rsidRPr="003459CA">
        <w:rPr>
          <w:rFonts w:ascii="Simplified Arabic" w:eastAsia="Times New Roman" w:hAnsi="Simplified Arabic" w:cs="Simplified Arabic" w:hint="cs"/>
          <w:sz w:val="26"/>
          <w:szCs w:val="26"/>
          <w:rtl/>
          <w:lang w:val="en-AU"/>
        </w:rPr>
        <w:t>ء</w:t>
      </w:r>
      <w:r w:rsidRPr="003459CA">
        <w:rPr>
          <w:rFonts w:ascii="Simplified Arabic" w:eastAsia="Times New Roman" w:hAnsi="Simplified Arabic" w:cs="Simplified Arabic"/>
          <w:sz w:val="26"/>
          <w:szCs w:val="26"/>
          <w:rtl/>
          <w:lang w:val="en-AU"/>
        </w:rPr>
        <w:t>ته من دين كان عليه . فلو أن للشخص أن يطالب بحقه مهما مضى من زمن على قعوده عن هذه المطالبة لأدى ذلك  إلى زعزعة في المراكز القانونية و</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ضطراب دائم في المعاملات ، الأمر ال</w:t>
      </w:r>
      <w:r>
        <w:rPr>
          <w:rFonts w:ascii="Simplified Arabic" w:eastAsia="Times New Roman" w:hAnsi="Simplified Arabic" w:cs="Simplified Arabic" w:hint="cs"/>
          <w:sz w:val="26"/>
          <w:szCs w:val="26"/>
          <w:rtl/>
          <w:lang w:val="en-AU"/>
        </w:rPr>
        <w:t>ذ</w:t>
      </w:r>
      <w:r w:rsidRPr="003459CA">
        <w:rPr>
          <w:rFonts w:ascii="Simplified Arabic" w:eastAsia="Times New Roman" w:hAnsi="Simplified Arabic" w:cs="Simplified Arabic"/>
          <w:sz w:val="26"/>
          <w:szCs w:val="26"/>
          <w:rtl/>
          <w:lang w:val="en-AU"/>
        </w:rPr>
        <w:t xml:space="preserve">ي يبعث الفوضى ويقوض النظام الاجتماعي . </w:t>
      </w:r>
    </w:p>
    <w:p w14:paraId="775C575B" w14:textId="49BF2A69" w:rsidR="00BC076D" w:rsidRDefault="00BC076D" w:rsidP="00BC076D">
      <w:pPr>
        <w:bidi/>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وفضلاً عن هذا ال</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عتبار الأساسي في نظام المجتمع ، فإن التقادم يحل إشكالاً كبيراً فيما يتعلق بالإثبات ولا سيما إثبات الملكية فيساعد بذلك على حماية الحق نفسه . إذ من المعروف أن إثبات الملكية كثيراً ما تكتنفه صعوبات جمة . ولولا نظام التقادم لتعذر على المالك في كثير من الأحيان أن يقيم الدليل على ملكيته ، أو لأمكن أن تكون</w:t>
      </w:r>
    </w:p>
    <w:p w14:paraId="72F13DC1"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lastRenderedPageBreak/>
        <w:t xml:space="preserve">ملكيته دائماً محل نزاع . ذلك أن المالك قد لا يتوافر لديه السند المثبت للملكية ، كما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الشخص لا يصبح مالكاً إلا إذا تلقى الملكية من مالك ويصدق هذا على جميع الحائزين المتعاقبين للشئ ، فإذا كان أحد هؤلاء غير مالك فإن جميع من يخلفونه في الحيازة لا يكونو</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 ملاكاً كذلك . ومن ثم فلولا التقادم لتعين على من يدعي الملكية أن يثبت ملكيته وملكية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سلافه جميعاً . وهذا عبء لا يمكن النهوض به . </w:t>
      </w:r>
    </w:p>
    <w:p w14:paraId="2BDB176A"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فالتقادم يكون من شأنه أن يزيل هذه الصعوبة التي تستعصي على الحل ، حيث يكفي في مثل هذه الظروف أن يقيم الشخص الدليل على حيازة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ستمرت طول المدة التي يتطلبها القانون لكسب الحق الذي يدعيه ويستند إلى التقادم المكسب للتدليل على أنه صاحب هذا الحق . فبعد مضي مدة معينة يتحتم أن يكون هناك توافق بين الواقع والحق ، إذ يصبح الحائز صاحب حق .</w:t>
      </w:r>
    </w:p>
    <w:p w14:paraId="0F1E128E"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ab/>
        <w:t>ويتضح من هذا أن للتقادم دوراً هاماً ، سواء في نظام المجتمع أو فيما يتعلق بالإثبات (</w:t>
      </w:r>
      <w:r w:rsidRPr="003459CA">
        <w:rPr>
          <w:rStyle w:val="FootnoteReference"/>
          <w:rFonts w:ascii="Simplified Arabic" w:eastAsia="Times New Roman" w:hAnsi="Simplified Arabic" w:cs="Simplified Arabic"/>
          <w:sz w:val="26"/>
          <w:szCs w:val="26"/>
          <w:rtl/>
          <w:lang w:val="en-AU"/>
        </w:rPr>
        <w:footnoteReference w:id="19"/>
      </w:r>
      <w:r w:rsidRPr="003459CA">
        <w:rPr>
          <w:rFonts w:ascii="Simplified Arabic" w:eastAsia="Times New Roman" w:hAnsi="Simplified Arabic" w:cs="Simplified Arabic"/>
          <w:sz w:val="26"/>
          <w:szCs w:val="26"/>
          <w:rtl/>
          <w:lang w:val="en-AU"/>
        </w:rPr>
        <w:t xml:space="preserve">) . </w:t>
      </w:r>
    </w:p>
    <w:p w14:paraId="0FBA8B49" w14:textId="77777777" w:rsidR="00BC076D" w:rsidRPr="003459CA" w:rsidRDefault="00BC076D" w:rsidP="00BC076D">
      <w:pPr>
        <w:bidi/>
        <w:spacing w:after="0" w:line="240" w:lineRule="auto"/>
        <w:ind w:firstLine="567"/>
        <w:jc w:val="center"/>
        <w:rPr>
          <w:rFonts w:ascii="Simplified Arabic" w:eastAsia="Times New Roman" w:hAnsi="Simplified Arabic" w:cs="Simplified Arabic"/>
          <w:b/>
          <w:bCs/>
          <w:sz w:val="26"/>
          <w:szCs w:val="26"/>
          <w:u w:val="single"/>
          <w:rtl/>
          <w:lang w:val="en-AU"/>
        </w:rPr>
      </w:pPr>
    </w:p>
    <w:p w14:paraId="027E1DC1"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إن مبدأ عدم سماع الدعوى بمرور الزمان( التقادم ) في القانون الإماراتي وفقه الشريعة الإسلامية قريب من نظام التقادم في القوانين الوضعية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لحديثة ، مع مراعاة أن الأصل هو عدم سقوط الحق بالتقادم مهما طال عليه الزمان ، وهذه قاعدة تستند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لى الحديث الشريف القائل " لا يبطل حق إمرئ مسلم و</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ن قدم " ، وإن الحق لا يسقط بتقادم الزمان وإذا أقر المدعى عليه بالحق يحكم عليه بإقراره دون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عتبار لمرور الزمان (</w:t>
      </w:r>
      <w:r w:rsidRPr="003459CA">
        <w:rPr>
          <w:rStyle w:val="FootnoteReference"/>
          <w:rFonts w:ascii="Simplified Arabic" w:eastAsia="Times New Roman" w:hAnsi="Simplified Arabic" w:cs="Simplified Arabic"/>
          <w:sz w:val="26"/>
          <w:szCs w:val="26"/>
          <w:rtl/>
          <w:lang w:val="en-AU" w:bidi="ar-AE"/>
        </w:rPr>
        <w:footnoteReference w:id="20"/>
      </w:r>
      <w:r w:rsidRPr="003459CA">
        <w:rPr>
          <w:rFonts w:ascii="Simplified Arabic" w:eastAsia="Times New Roman" w:hAnsi="Simplified Arabic" w:cs="Simplified Arabic"/>
          <w:sz w:val="26"/>
          <w:szCs w:val="26"/>
          <w:rtl/>
          <w:lang w:val="en-AU" w:bidi="ar-AE"/>
        </w:rPr>
        <w:t xml:space="preserve">) . </w:t>
      </w:r>
    </w:p>
    <w:p w14:paraId="6536B690"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6AF3F38C" w14:textId="77777777" w:rsidR="00BC076D" w:rsidRPr="003459CA"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b/>
          <w:bCs/>
          <w:sz w:val="26"/>
          <w:szCs w:val="26"/>
          <w:rtl/>
          <w:lang w:val="en-AU" w:bidi="ar-AE"/>
        </w:rPr>
        <w:lastRenderedPageBreak/>
        <w:t>ولاشك أن أحكام التقادم متعددة ومتفرعة ولا مجال للتعرض لها بصفة مفصلة في هذا البحث ، وسنقوم  بتسليط الضوء على بعض الأحكام الهامة للتقادم المسقط دون الخوض في  جميع التفاصيل التي مردها إلى أحكام الالتزام .</w:t>
      </w:r>
    </w:p>
    <w:p w14:paraId="2BD322F8"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5DF14727"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كما أننا في صدد انقضاء الدين ذاته وانقضاء الرهن بصفة تبعية ، لا بصدد انقضاء الرهن بصفة أصلية حيث سيأتي لاحقاً التحدث عنه منفرداً . </w:t>
      </w:r>
    </w:p>
    <w:p w14:paraId="0C4392D1"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176401C4" w14:textId="77777777" w:rsidR="00BC076D" w:rsidRPr="003459CA"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65</w:t>
      </w:r>
      <w:r w:rsidRPr="003459CA">
        <w:rPr>
          <w:rFonts w:ascii="Simplified Arabic" w:eastAsia="Times New Roman" w:hAnsi="Simplified Arabic" w:cs="Simplified Arabic"/>
          <w:b/>
          <w:bCs/>
          <w:sz w:val="26"/>
          <w:szCs w:val="26"/>
          <w:rtl/>
          <w:lang w:val="en-AU" w:bidi="ar-AE"/>
        </w:rPr>
        <w:t>-</w:t>
      </w:r>
      <w:r>
        <w:rPr>
          <w:rFonts w:ascii="Simplified Arabic" w:eastAsia="Times New Roman" w:hAnsi="Simplified Arabic" w:cs="Simplified Arabic" w:hint="cs"/>
          <w:b/>
          <w:bCs/>
          <w:sz w:val="26"/>
          <w:szCs w:val="26"/>
          <w:rtl/>
          <w:lang w:val="en-AU" w:bidi="ar-AE"/>
        </w:rPr>
        <w:t xml:space="preserve"> </w:t>
      </w:r>
      <w:r w:rsidRPr="003459CA">
        <w:rPr>
          <w:rFonts w:ascii="Simplified Arabic" w:eastAsia="Times New Roman" w:hAnsi="Simplified Arabic" w:cs="Simplified Arabic"/>
          <w:b/>
          <w:bCs/>
          <w:sz w:val="26"/>
          <w:szCs w:val="26"/>
          <w:rtl/>
          <w:lang w:val="en-AU" w:bidi="ar-AE"/>
        </w:rPr>
        <w:t>أولاً - مدة التقادم  :</w:t>
      </w:r>
    </w:p>
    <w:p w14:paraId="72A48BA0" w14:textId="77777777" w:rsidR="00BC076D" w:rsidRPr="003459CA" w:rsidRDefault="00BC076D" w:rsidP="00BC076D">
      <w:pPr>
        <w:bidi/>
        <w:spacing w:after="0" w:line="240" w:lineRule="auto"/>
        <w:jc w:val="both"/>
        <w:rPr>
          <w:rFonts w:ascii="Simplified Arabic" w:eastAsia="Times New Roman" w:hAnsi="Simplified Arabic" w:cs="Simplified Arabic"/>
          <w:b/>
          <w:bCs/>
          <w:sz w:val="26"/>
          <w:szCs w:val="26"/>
          <w:rtl/>
          <w:lang w:val="en-AU" w:bidi="ar-AE"/>
        </w:rPr>
      </w:pPr>
    </w:p>
    <w:p w14:paraId="2D8D67A5" w14:textId="77777777" w:rsidR="00BC076D" w:rsidRPr="003459CA"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الأصل في الالتزام أن يتقادم بمضي خمسة عشر سنة</w:t>
      </w:r>
      <w:r w:rsidRPr="003459CA">
        <w:rPr>
          <w:rFonts w:ascii="Simplified Arabic" w:hAnsi="Simplified Arabic" w:cs="Simplified Arabic"/>
          <w:sz w:val="20"/>
          <w:szCs w:val="20"/>
          <w:rtl/>
        </w:rPr>
        <w:t xml:space="preserve"> </w:t>
      </w:r>
      <w:r w:rsidRPr="003459CA">
        <w:rPr>
          <w:rFonts w:ascii="Simplified Arabic" w:eastAsia="Times New Roman" w:hAnsi="Simplified Arabic" w:cs="Simplified Arabic"/>
          <w:sz w:val="26"/>
          <w:szCs w:val="26"/>
          <w:rtl/>
          <w:lang w:val="en-AU" w:bidi="ar-AE"/>
        </w:rPr>
        <w:t>إلا إذا نص القانون على مدة أخرى للتقادم ، بحسب نص المادة 473 من قانون المعاملات المدنية الجاري نصها على أن " لا ينقضي الحق بمرور الزمان ولكن لا تسمع الدعوى به على المنكر بانقضاء خمس عشرة سنة بغير عذر شرعي مع مراعاة ما وردت فيه أحكام خاصة "  ،  فإذا لم يحدد القانون لل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لتزام تقادماً خاصاً خضع للقاعدة العامة، وهي تقادمه بمضي خمسة عشر سنة .</w:t>
      </w:r>
    </w:p>
    <w:p w14:paraId="24CDFBC9"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ومن أمثلة التقادم الخاص . تقادم الديون المتجددة (</w:t>
      </w:r>
      <w:r w:rsidRPr="003459CA">
        <w:rPr>
          <w:rStyle w:val="FootnoteReference"/>
          <w:rFonts w:ascii="Simplified Arabic" w:eastAsia="Times New Roman" w:hAnsi="Simplified Arabic" w:cs="Simplified Arabic"/>
          <w:sz w:val="26"/>
          <w:szCs w:val="26"/>
          <w:rtl/>
          <w:lang w:val="en-AU" w:bidi="ar-AE"/>
        </w:rPr>
        <w:footnoteReference w:id="21"/>
      </w:r>
      <w:r w:rsidRPr="003459CA">
        <w:rPr>
          <w:rFonts w:ascii="Simplified Arabic" w:eastAsia="Times New Roman" w:hAnsi="Simplified Arabic" w:cs="Simplified Arabic"/>
          <w:sz w:val="26"/>
          <w:szCs w:val="26"/>
          <w:rtl/>
          <w:lang w:val="en-AU" w:bidi="ar-AE"/>
        </w:rPr>
        <w:t xml:space="preserve">)، وحقوق العمال على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صحاب العمل وحقوق أصحاب الفنادق والمطاعم على زبائنهم وحقوق الصناع (</w:t>
      </w:r>
      <w:r w:rsidRPr="003459CA">
        <w:rPr>
          <w:rStyle w:val="FootnoteReference"/>
          <w:rFonts w:ascii="Simplified Arabic" w:eastAsia="Times New Roman" w:hAnsi="Simplified Arabic" w:cs="Simplified Arabic"/>
          <w:sz w:val="26"/>
          <w:szCs w:val="26"/>
          <w:rtl/>
          <w:lang w:val="en-AU" w:bidi="ar-AE"/>
        </w:rPr>
        <w:footnoteReference w:id="22"/>
      </w:r>
      <w:r w:rsidRPr="003459CA">
        <w:rPr>
          <w:rFonts w:ascii="Simplified Arabic" w:eastAsia="Times New Roman" w:hAnsi="Simplified Arabic" w:cs="Simplified Arabic"/>
          <w:sz w:val="26"/>
          <w:szCs w:val="26"/>
          <w:rtl/>
          <w:lang w:val="en-AU" w:bidi="ar-AE"/>
        </w:rPr>
        <w:t>) ، وذوي المهن المتعلقة بممارستهم لمهنهم (</w:t>
      </w:r>
      <w:r w:rsidRPr="003459CA">
        <w:rPr>
          <w:rStyle w:val="FootnoteReference"/>
          <w:rFonts w:ascii="Simplified Arabic" w:eastAsia="Times New Roman" w:hAnsi="Simplified Arabic" w:cs="Simplified Arabic"/>
          <w:sz w:val="26"/>
          <w:szCs w:val="26"/>
          <w:rtl/>
          <w:lang w:val="en-AU" w:bidi="ar-AE"/>
        </w:rPr>
        <w:footnoteReference w:id="23"/>
      </w:r>
      <w:r w:rsidRPr="003459CA">
        <w:rPr>
          <w:rFonts w:ascii="Simplified Arabic" w:eastAsia="Times New Roman" w:hAnsi="Simplified Arabic" w:cs="Simplified Arabic"/>
          <w:sz w:val="26"/>
          <w:szCs w:val="26"/>
          <w:rtl/>
          <w:lang w:val="en-AU" w:bidi="ar-AE"/>
        </w:rPr>
        <w:t xml:space="preserve">). </w:t>
      </w:r>
    </w:p>
    <w:p w14:paraId="73B41EAD" w14:textId="77777777" w:rsidR="00BC076D" w:rsidRDefault="00BC076D" w:rsidP="00BC076D">
      <w:pPr>
        <w:bidi/>
        <w:spacing w:after="0" w:line="240" w:lineRule="auto"/>
        <w:jc w:val="both"/>
        <w:rPr>
          <w:rFonts w:ascii="Simplified Arabic" w:eastAsia="Times New Roman" w:hAnsi="Simplified Arabic" w:cs="Simplified Arabic"/>
          <w:sz w:val="26"/>
          <w:szCs w:val="26"/>
          <w:rtl/>
          <w:lang w:val="en-AU" w:bidi="ar-AE"/>
        </w:rPr>
      </w:pPr>
    </w:p>
    <w:p w14:paraId="1313A68B" w14:textId="77777777" w:rsidR="00BC076D" w:rsidRPr="003459CA" w:rsidRDefault="00BC076D" w:rsidP="00BC076D">
      <w:pPr>
        <w:bidi/>
        <w:spacing w:after="0" w:line="240" w:lineRule="auto"/>
        <w:jc w:val="both"/>
        <w:rPr>
          <w:rFonts w:ascii="Simplified Arabic" w:eastAsia="Times New Roman" w:hAnsi="Simplified Arabic" w:cs="Simplified Arabic"/>
          <w:sz w:val="26"/>
          <w:szCs w:val="26"/>
          <w:lang w:val="en-AU" w:bidi="ar-AE"/>
        </w:rPr>
      </w:pPr>
      <w:r w:rsidRPr="003459CA">
        <w:rPr>
          <w:rFonts w:ascii="Simplified Arabic" w:eastAsia="Times New Roman" w:hAnsi="Simplified Arabic" w:cs="Simplified Arabic"/>
          <w:sz w:val="26"/>
          <w:szCs w:val="26"/>
          <w:rtl/>
          <w:lang w:val="en-AU" w:bidi="ar-AE"/>
        </w:rPr>
        <w:lastRenderedPageBreak/>
        <w:t>فكل تقادم يخضع للقاعدة العامة وهي خمسة عشر سنة ، مالم ينص القانون على خضوعه لمدة أخرى (</w:t>
      </w:r>
      <w:r w:rsidRPr="003459CA">
        <w:rPr>
          <w:rStyle w:val="FootnoteReference"/>
          <w:rFonts w:ascii="Simplified Arabic" w:eastAsia="Times New Roman" w:hAnsi="Simplified Arabic" w:cs="Simplified Arabic"/>
          <w:sz w:val="26"/>
          <w:szCs w:val="26"/>
          <w:rtl/>
          <w:lang w:val="en-AU" w:bidi="ar-AE"/>
        </w:rPr>
        <w:footnoteReference w:id="24"/>
      </w:r>
      <w:r w:rsidRPr="003459CA">
        <w:rPr>
          <w:rFonts w:ascii="Simplified Arabic" w:eastAsia="Times New Roman" w:hAnsi="Simplified Arabic" w:cs="Simplified Arabic"/>
          <w:sz w:val="26"/>
          <w:szCs w:val="26"/>
          <w:rtl/>
          <w:lang w:val="en-AU" w:bidi="ar-AE"/>
        </w:rPr>
        <w:t>) .</w:t>
      </w:r>
    </w:p>
    <w:p w14:paraId="73E8D046"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وبالنسبة للرهن تحديداً فقد نصت الفقرة الأولى من المادة رقم 1446 من قانون المعاملات المدنية على ما يلي :</w:t>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lang w:val="en-AU" w:bidi="ar-AE"/>
        </w:rPr>
        <w:t xml:space="preserve"> </w:t>
      </w:r>
      <w:r w:rsidRPr="003459CA">
        <w:rPr>
          <w:rFonts w:ascii="Simplified Arabic" w:eastAsia="Times New Roman" w:hAnsi="Simplified Arabic" w:cs="Simplified Arabic"/>
          <w:sz w:val="26"/>
          <w:szCs w:val="26"/>
          <w:rtl/>
          <w:lang w:val="en-AU" w:bidi="ar-AE"/>
        </w:rPr>
        <w:t>"  إذا انقضت مدة عدم سماع الدعوى بمرور الزمان على الدين المضمون ، جاز للراهن أن يطلب الحكم بفك الرهن(</w:t>
      </w:r>
      <w:r w:rsidRPr="003459CA">
        <w:rPr>
          <w:rStyle w:val="FootnoteReference"/>
          <w:rFonts w:ascii="Simplified Arabic" w:eastAsia="Times New Roman" w:hAnsi="Simplified Arabic" w:cs="Simplified Arabic"/>
          <w:sz w:val="26"/>
          <w:szCs w:val="26"/>
          <w:rtl/>
          <w:lang w:val="en-AU" w:bidi="ar-AE"/>
        </w:rPr>
        <w:footnoteReference w:id="25"/>
      </w:r>
      <w:r w:rsidRPr="003459CA">
        <w:rPr>
          <w:rFonts w:ascii="Simplified Arabic" w:eastAsia="Times New Roman" w:hAnsi="Simplified Arabic" w:cs="Simplified Arabic"/>
          <w:sz w:val="26"/>
          <w:szCs w:val="26"/>
          <w:rtl/>
          <w:lang w:val="en-AU" w:bidi="ar-AE"/>
        </w:rPr>
        <w:t>).</w:t>
      </w:r>
    </w:p>
    <w:p w14:paraId="6C44FE68" w14:textId="77777777" w:rsidR="006357DC" w:rsidRPr="003459CA" w:rsidRDefault="006357DC" w:rsidP="006357DC">
      <w:pPr>
        <w:bidi/>
        <w:spacing w:after="0" w:line="240" w:lineRule="auto"/>
        <w:ind w:firstLine="567"/>
        <w:jc w:val="both"/>
        <w:rPr>
          <w:rFonts w:ascii="Simplified Arabic" w:eastAsia="Times New Roman" w:hAnsi="Simplified Arabic" w:cs="Simplified Arabic"/>
          <w:sz w:val="26"/>
          <w:szCs w:val="26"/>
          <w:lang w:val="en-AU" w:bidi="ar-AE"/>
        </w:rPr>
      </w:pPr>
      <w:r w:rsidRPr="003459CA">
        <w:rPr>
          <w:rFonts w:ascii="Simplified Arabic" w:eastAsia="Times New Roman" w:hAnsi="Simplified Arabic" w:cs="Simplified Arabic"/>
          <w:sz w:val="26"/>
          <w:szCs w:val="26"/>
          <w:rtl/>
          <w:lang w:val="en-AU" w:bidi="ar-AE"/>
        </w:rPr>
        <w:lastRenderedPageBreak/>
        <w:t xml:space="preserve">والقاعدة الصحيحة في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حتساب مدة التقادم ألا تحسب المدة التي وقف سيره في خلالها ضمن مدة التقادم وإنما تعتبر المدة السابقة على الوقف معلقة حتى يزول سبب الوقف ، فإذا زال يعود سريان المدة وتضاف المدة السابقة على المدة اللاحقة (</w:t>
      </w:r>
      <w:r w:rsidRPr="003459CA">
        <w:rPr>
          <w:rStyle w:val="FootnoteReference"/>
          <w:rFonts w:ascii="Simplified Arabic" w:eastAsia="Times New Roman" w:hAnsi="Simplified Arabic" w:cs="Simplified Arabic"/>
          <w:sz w:val="26"/>
          <w:szCs w:val="26"/>
          <w:rtl/>
          <w:lang w:val="en-AU" w:bidi="ar-AE"/>
        </w:rPr>
        <w:footnoteReference w:id="26"/>
      </w:r>
      <w:r w:rsidRPr="003459CA">
        <w:rPr>
          <w:rFonts w:ascii="Simplified Arabic" w:eastAsia="Times New Roman" w:hAnsi="Simplified Arabic" w:cs="Simplified Arabic"/>
          <w:sz w:val="26"/>
          <w:szCs w:val="26"/>
          <w:rtl/>
          <w:lang w:val="en-AU" w:bidi="ar-AE"/>
        </w:rPr>
        <w:t xml:space="preserve"> ) .</w:t>
      </w:r>
    </w:p>
    <w:p w14:paraId="2DE0CE0C" w14:textId="77777777" w:rsidR="006357DC" w:rsidRDefault="006357DC" w:rsidP="006357DC">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ab/>
        <w:t xml:space="preserve">ومن المقرر أن المدة المقررة لعدم سماع الدعوى طبقاً للقواعد العامة ، تنقطع بالمطالبة القضائية ولو رفعت الدعوى إلى محكمة غير مختصة إلا إذا قضى ببطلان صحيفة الدعوى فيزول أثرها ولا يترتب عليها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نقطاع مدة عدم السماع (</w:t>
      </w:r>
      <w:r w:rsidRPr="003459CA">
        <w:rPr>
          <w:rStyle w:val="FootnoteReference"/>
          <w:rFonts w:ascii="Simplified Arabic" w:eastAsia="Times New Roman" w:hAnsi="Simplified Arabic" w:cs="Simplified Arabic"/>
          <w:sz w:val="26"/>
          <w:szCs w:val="26"/>
          <w:rtl/>
          <w:lang w:val="en-AU" w:bidi="ar-AE"/>
        </w:rPr>
        <w:footnoteReference w:id="27"/>
      </w:r>
      <w:r w:rsidRPr="003459CA">
        <w:rPr>
          <w:rFonts w:ascii="Simplified Arabic" w:eastAsia="Times New Roman" w:hAnsi="Simplified Arabic" w:cs="Simplified Arabic"/>
          <w:sz w:val="26"/>
          <w:szCs w:val="26"/>
          <w:rtl/>
          <w:lang w:val="en-AU" w:bidi="ar-AE"/>
        </w:rPr>
        <w:t xml:space="preserve">) . </w:t>
      </w:r>
    </w:p>
    <w:p w14:paraId="1EBA335E"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يعتبر حقاً دورياً متجدداً يخضع لأحكام التقادم الخمسي ، 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فتقاده لصفة التجدد الدوري ، ذلك أن مناط الحكم في هذا النوع من التقادم هو كون الالتزام مما </w:t>
      </w:r>
      <w:r w:rsidRPr="003459CA">
        <w:rPr>
          <w:rFonts w:ascii="Simplified Arabic" w:eastAsia="Times New Roman" w:hAnsi="Simplified Arabic" w:cs="Simplified Arabic" w:hint="cs"/>
          <w:sz w:val="26"/>
          <w:szCs w:val="26"/>
          <w:rtl/>
          <w:lang w:val="en-AU" w:bidi="ar-AE"/>
        </w:rPr>
        <w:t>ي</w:t>
      </w:r>
      <w:r w:rsidRPr="003459CA">
        <w:rPr>
          <w:rFonts w:ascii="Simplified Arabic" w:eastAsia="Times New Roman" w:hAnsi="Simplified Arabic" w:cs="Simplified Arabic"/>
          <w:sz w:val="26"/>
          <w:szCs w:val="26"/>
          <w:rtl/>
          <w:lang w:val="en-AU" w:bidi="ar-AE"/>
        </w:rPr>
        <w:t xml:space="preserve">تكرر ويستحق سنوياً أو بمواعيد أقل من سنة ويكون تكراره أو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ستحقاقه دورياً ، مما ينوء الملتزم بحمله لو ترك بغير مطالبة مدة تزيد على خمس سنوات (</w:t>
      </w:r>
      <w:r w:rsidRPr="003459CA">
        <w:rPr>
          <w:rStyle w:val="FootnoteReference"/>
          <w:rFonts w:ascii="Simplified Arabic" w:eastAsia="Times New Roman" w:hAnsi="Simplified Arabic" w:cs="Simplified Arabic"/>
          <w:sz w:val="26"/>
          <w:szCs w:val="26"/>
          <w:rtl/>
          <w:lang w:val="en-AU" w:bidi="ar-AE"/>
        </w:rPr>
        <w:footnoteReference w:id="28"/>
      </w:r>
      <w:r w:rsidRPr="003459CA">
        <w:rPr>
          <w:rFonts w:ascii="Simplified Arabic" w:eastAsia="Times New Roman" w:hAnsi="Simplified Arabic" w:cs="Simplified Arabic"/>
          <w:sz w:val="26"/>
          <w:szCs w:val="26"/>
          <w:rtl/>
          <w:lang w:val="en-AU" w:bidi="ar-AE"/>
        </w:rPr>
        <w:t xml:space="preserve">) . </w:t>
      </w:r>
    </w:p>
    <w:p w14:paraId="6851660D"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p>
    <w:p w14:paraId="15C4F6D0"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67</w:t>
      </w:r>
      <w:r w:rsidRPr="003459CA">
        <w:rPr>
          <w:rFonts w:ascii="Simplified Arabic" w:eastAsia="Times New Roman" w:hAnsi="Simplified Arabic" w:cs="Simplified Arabic"/>
          <w:b/>
          <w:bCs/>
          <w:sz w:val="26"/>
          <w:szCs w:val="26"/>
          <w:rtl/>
          <w:lang w:val="en-AU" w:bidi="ar-AE"/>
        </w:rPr>
        <w:t>-</w:t>
      </w:r>
      <w:r w:rsidRPr="003459CA">
        <w:rPr>
          <w:rFonts w:ascii="Simplified Arabic" w:eastAsia="Times New Roman" w:hAnsi="Simplified Arabic" w:cs="Simplified Arabic"/>
          <w:color w:val="FF0000"/>
          <w:sz w:val="26"/>
          <w:szCs w:val="26"/>
          <w:rtl/>
          <w:lang w:val="en-AU" w:bidi="ar-AE"/>
        </w:rPr>
        <w:t xml:space="preserve"> </w:t>
      </w:r>
      <w:r w:rsidRPr="003459CA">
        <w:rPr>
          <w:rFonts w:ascii="Simplified Arabic" w:eastAsia="Times New Roman" w:hAnsi="Simplified Arabic" w:cs="Simplified Arabic"/>
          <w:b/>
          <w:bCs/>
          <w:sz w:val="26"/>
          <w:szCs w:val="26"/>
          <w:rtl/>
          <w:lang w:val="en-AU" w:bidi="ar-AE"/>
        </w:rPr>
        <w:t>الحساب الجاري :</w:t>
      </w:r>
    </w:p>
    <w:p w14:paraId="403D473B"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صفة الحساب الجاري تزول عنه بإقفاله ويصبح الرصيد ديناً عادياً مما يجوز للدائن المطالبة به من تاريخ إقفال الحساب ، ومن ثم فإن التقادم يبدأ في السريان من هذا التاريخ </w:t>
      </w:r>
      <w:r>
        <w:rPr>
          <w:rFonts w:ascii="Simplified Arabic" w:eastAsia="Times New Roman" w:hAnsi="Simplified Arabic" w:cs="Simplified Arabic" w:hint="cs"/>
          <w:sz w:val="26"/>
          <w:szCs w:val="26"/>
          <w:rtl/>
          <w:lang w:val="en-AU" w:bidi="ar-AE"/>
        </w:rPr>
        <w:t xml:space="preserve"> وهو تقادم عشري بحكم كونه عملاً تجارياً </w:t>
      </w:r>
      <w:r w:rsidRPr="003459CA">
        <w:rPr>
          <w:rFonts w:ascii="Simplified Arabic" w:eastAsia="Times New Roman" w:hAnsi="Simplified Arabic" w:cs="Simplified Arabic"/>
          <w:sz w:val="26"/>
          <w:szCs w:val="26"/>
          <w:rtl/>
          <w:lang w:val="en-AU" w:bidi="ar-AE"/>
        </w:rPr>
        <w:t xml:space="preserve">. أما قبل إقفال الحساب فلا يستطيع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حد من الطرفين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يدعي لنفسه صفة الدائنية قبل الطرف الآخر لأن المعاملة مستمرة بين الطرفين ولا تقف حركتها إلا عند قفل الحساب . وفي هذا التاريخ يتحدد مركز كل من الطرفين وحقوق كل منهما قبل الآخر ( </w:t>
      </w:r>
      <w:r w:rsidRPr="003459CA">
        <w:rPr>
          <w:rStyle w:val="FootnoteReference"/>
          <w:rFonts w:ascii="Simplified Arabic" w:eastAsia="Times New Roman" w:hAnsi="Simplified Arabic" w:cs="Simplified Arabic"/>
          <w:sz w:val="26"/>
          <w:szCs w:val="26"/>
          <w:rtl/>
          <w:lang w:val="en-AU" w:bidi="ar-AE"/>
        </w:rPr>
        <w:footnoteReference w:id="29"/>
      </w:r>
      <w:r w:rsidRPr="003459CA">
        <w:rPr>
          <w:rFonts w:ascii="Simplified Arabic" w:eastAsia="Times New Roman" w:hAnsi="Simplified Arabic" w:cs="Simplified Arabic"/>
          <w:sz w:val="26"/>
          <w:szCs w:val="26"/>
          <w:rtl/>
          <w:lang w:val="en-AU" w:bidi="ar-AE"/>
        </w:rPr>
        <w:t xml:space="preserve"> ).  </w:t>
      </w:r>
    </w:p>
    <w:p w14:paraId="09E268B8"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p>
    <w:p w14:paraId="4DD81CDB"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68</w:t>
      </w:r>
      <w:r w:rsidRPr="003459CA">
        <w:rPr>
          <w:rFonts w:ascii="Simplified Arabic" w:eastAsia="Times New Roman" w:hAnsi="Simplified Arabic" w:cs="Simplified Arabic"/>
          <w:b/>
          <w:bCs/>
          <w:sz w:val="26"/>
          <w:szCs w:val="26"/>
          <w:rtl/>
          <w:lang w:val="en-AU" w:bidi="ar-AE"/>
        </w:rPr>
        <w:t>- ثانياً - التمسك بالتقادم من كل ذي مصلحة :</w:t>
      </w:r>
    </w:p>
    <w:p w14:paraId="76D7D85E"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b/>
          <w:bCs/>
          <w:sz w:val="26"/>
          <w:szCs w:val="26"/>
          <w:rtl/>
          <w:lang w:val="en-AU" w:bidi="ar-AE"/>
        </w:rPr>
        <w:tab/>
      </w:r>
      <w:r w:rsidRPr="003459CA">
        <w:rPr>
          <w:rFonts w:ascii="Simplified Arabic" w:eastAsia="Times New Roman" w:hAnsi="Simplified Arabic" w:cs="Simplified Arabic"/>
          <w:sz w:val="26"/>
          <w:szCs w:val="26"/>
          <w:rtl/>
          <w:lang w:val="en-AU" w:bidi="ar-AE"/>
        </w:rPr>
        <w:t xml:space="preserve">يجوز للمدين وخلفه العام ، وخلفه الخاص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يتمسك بالتقادم ويجوز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يضاً لكل ذي مصلحة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ن يتمسك بالتقادم مثل الحائز للعقار المرهون .</w:t>
      </w:r>
    </w:p>
    <w:p w14:paraId="5F06BE3A" w14:textId="5194940B" w:rsidR="006357DC" w:rsidRPr="003459CA" w:rsidRDefault="006357DC" w:rsidP="006357DC">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ويجوز للحائز أن يدفع بتقادم الدين المضمون بالرهن ول</w:t>
      </w:r>
      <w:r w:rsidRPr="003459CA">
        <w:rPr>
          <w:rFonts w:ascii="Simplified Arabic" w:eastAsia="Times New Roman" w:hAnsi="Simplified Arabic" w:cs="Simplified Arabic" w:hint="cs"/>
          <w:sz w:val="26"/>
          <w:szCs w:val="26"/>
          <w:rtl/>
          <w:lang w:val="en-AU" w:bidi="ar-AE"/>
        </w:rPr>
        <w:t>و</w:t>
      </w:r>
      <w:r w:rsidRPr="003459CA">
        <w:rPr>
          <w:rFonts w:ascii="Simplified Arabic" w:eastAsia="Times New Roman" w:hAnsi="Simplified Arabic" w:cs="Simplified Arabic"/>
          <w:sz w:val="26"/>
          <w:szCs w:val="26"/>
          <w:rtl/>
          <w:lang w:val="en-AU" w:bidi="ar-AE"/>
        </w:rPr>
        <w:t xml:space="preserve"> فرض أن المدين رهن عقاراً ضماناً للوفاء بدينه ، ثم باع هذا العقار ، ومضت على الدين مدة التقادم . ثم رجع</w:t>
      </w:r>
    </w:p>
    <w:p w14:paraId="244D7C5A"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p>
    <w:p w14:paraId="4BA841F1"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rPr>
        <w:t>66</w:t>
      </w:r>
      <w:r w:rsidRPr="003459CA">
        <w:rPr>
          <w:rFonts w:ascii="Simplified Arabic" w:eastAsia="Times New Roman" w:hAnsi="Simplified Arabic" w:cs="Simplified Arabic"/>
          <w:b/>
          <w:bCs/>
          <w:sz w:val="26"/>
          <w:szCs w:val="26"/>
          <w:rtl/>
          <w:lang w:val="en-AU"/>
        </w:rPr>
        <w:t>-</w:t>
      </w:r>
      <w:r w:rsidRPr="003459CA">
        <w:rPr>
          <w:rFonts w:ascii="Simplified Arabic" w:eastAsia="Times New Roman" w:hAnsi="Simplified Arabic" w:cs="Simplified Arabic"/>
          <w:b/>
          <w:bCs/>
          <w:sz w:val="26"/>
          <w:szCs w:val="26"/>
          <w:rtl/>
          <w:lang w:val="en-AU" w:bidi="ar-AE"/>
        </w:rPr>
        <w:t>التقادم بالنسبة لرصيد التسهيلات المصرفية ؛</w:t>
      </w:r>
    </w:p>
    <w:p w14:paraId="75D7A0E9" w14:textId="10F68BB4" w:rsidR="006357DC" w:rsidRPr="003459CA" w:rsidRDefault="006357DC" w:rsidP="006357DC">
      <w:pPr>
        <w:bidi/>
        <w:spacing w:after="0" w:line="240" w:lineRule="auto"/>
        <w:ind w:firstLine="567"/>
        <w:jc w:val="both"/>
        <w:rPr>
          <w:rFonts w:ascii="Simplified Arabic" w:eastAsia="Times New Roman" w:hAnsi="Simplified Arabic" w:cs="Simplified Arabic"/>
          <w:sz w:val="26"/>
          <w:szCs w:val="26"/>
          <w:lang w:val="en-AU" w:bidi="ar-AE"/>
        </w:rPr>
      </w:pPr>
      <w:r w:rsidRPr="003459CA">
        <w:rPr>
          <w:rFonts w:ascii="Simplified Arabic" w:eastAsia="Times New Roman" w:hAnsi="Simplified Arabic" w:cs="Simplified Arabic"/>
          <w:sz w:val="26"/>
          <w:szCs w:val="26"/>
          <w:rtl/>
          <w:lang w:val="en-AU" w:bidi="ar-AE"/>
        </w:rPr>
        <w:t>ترى المحكمة</w:t>
      </w:r>
      <w:r w:rsidRPr="00930A4D">
        <w:rPr>
          <w:rFonts w:ascii="Simplified Arabic" w:hAnsi="Simplified Arabic"/>
          <w:sz w:val="24"/>
          <w:szCs w:val="24"/>
          <w:rtl/>
        </w:rPr>
        <w:t xml:space="preserve"> </w:t>
      </w:r>
      <w:r>
        <w:rPr>
          <w:rFonts w:ascii="Simplified Arabic" w:hAnsi="Simplified Arabic"/>
          <w:sz w:val="24"/>
          <w:szCs w:val="24"/>
          <w:rtl/>
        </w:rPr>
        <w:t>ال</w:t>
      </w:r>
      <w:r>
        <w:rPr>
          <w:rFonts w:ascii="Simplified Arabic" w:hAnsi="Simplified Arabic" w:hint="cs"/>
          <w:sz w:val="24"/>
          <w:szCs w:val="24"/>
          <w:rtl/>
        </w:rPr>
        <w:t>إ</w:t>
      </w:r>
      <w:r>
        <w:rPr>
          <w:rFonts w:ascii="Simplified Arabic" w:hAnsi="Simplified Arabic"/>
          <w:sz w:val="24"/>
          <w:szCs w:val="24"/>
          <w:rtl/>
        </w:rPr>
        <w:t>تحادية</w:t>
      </w:r>
      <w:r w:rsidRPr="003459CA">
        <w:rPr>
          <w:rFonts w:ascii="Simplified Arabic" w:eastAsia="Times New Roman" w:hAnsi="Simplified Arabic" w:cs="Simplified Arabic"/>
          <w:sz w:val="26"/>
          <w:szCs w:val="26"/>
          <w:rtl/>
          <w:lang w:val="en-AU" w:bidi="ar-AE"/>
        </w:rPr>
        <w:t xml:space="preserve"> العليا بهذا الشأن : أن رصيد الحساب المعتمد على التسهيلات المصرفية عند قفله ، لا يعدو أن يكون ديناً عادياً تسري عليه أحكام التقادم الطويل، ولا</w:t>
      </w:r>
    </w:p>
    <w:p w14:paraId="660C4F3C"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الدائن على حائز العقار لكي يطالبه بالدين ، فللحائز أن يدفع بأن الدين قد سقط بالتقادم(</w:t>
      </w:r>
      <w:r w:rsidRPr="003459CA">
        <w:rPr>
          <w:rStyle w:val="FootnoteReference"/>
          <w:rFonts w:ascii="Simplified Arabic" w:eastAsia="Times New Roman" w:hAnsi="Simplified Arabic" w:cs="Simplified Arabic"/>
          <w:sz w:val="26"/>
          <w:szCs w:val="26"/>
          <w:rtl/>
          <w:lang w:val="en-AU" w:bidi="ar-AE"/>
        </w:rPr>
        <w:footnoteReference w:id="30"/>
      </w:r>
      <w:r w:rsidRPr="003459CA">
        <w:rPr>
          <w:rFonts w:ascii="Simplified Arabic" w:eastAsia="Times New Roman" w:hAnsi="Simplified Arabic" w:cs="Simplified Arabic"/>
          <w:sz w:val="26"/>
          <w:szCs w:val="26"/>
          <w:rtl/>
          <w:lang w:val="en-AU" w:bidi="ar-AE"/>
        </w:rPr>
        <w:t xml:space="preserve">) . </w:t>
      </w:r>
    </w:p>
    <w:p w14:paraId="0148A2B1"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p>
    <w:p w14:paraId="5A96175F"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69</w:t>
      </w:r>
      <w:r w:rsidRPr="003459CA">
        <w:rPr>
          <w:rFonts w:ascii="Simplified Arabic" w:eastAsia="Times New Roman" w:hAnsi="Simplified Arabic" w:cs="Simplified Arabic"/>
          <w:b/>
          <w:bCs/>
          <w:sz w:val="26"/>
          <w:szCs w:val="26"/>
          <w:rtl/>
          <w:lang w:val="en-AU" w:bidi="ar-AE"/>
        </w:rPr>
        <w:t xml:space="preserve"> - ثالثاً – وجوب التمسك بالتقادم : </w:t>
      </w:r>
    </w:p>
    <w:p w14:paraId="4B0B84C2"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bidi="ar-AE"/>
        </w:rPr>
        <w:tab/>
      </w:r>
      <w:r>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ن التقادم ليس من النظام العام ، ومن ثم فإن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كتمال مدة التقادم لا يترتب عليه انقضاء الالتزام بقوة القانون ، ويترتب على ذلك أمرين : </w:t>
      </w:r>
    </w:p>
    <w:p w14:paraId="13F0E557"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p>
    <w:p w14:paraId="1B9AEC6F" w14:textId="77777777" w:rsidR="006357DC" w:rsidRPr="003459CA" w:rsidRDefault="006357DC" w:rsidP="006357DC">
      <w:pPr>
        <w:bidi/>
        <w:spacing w:after="0" w:line="240" w:lineRule="auto"/>
        <w:ind w:firstLine="567"/>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b/>
          <w:bCs/>
          <w:sz w:val="26"/>
          <w:szCs w:val="26"/>
          <w:rtl/>
          <w:lang w:val="en-AU" w:bidi="ar-AE"/>
        </w:rPr>
        <w:t>أ – أن الحق في إقامة الدعوى لا ينقضي بقوة القانون ولا بد لمن له مصلحة أن يتمسك به .</w:t>
      </w:r>
    </w:p>
    <w:p w14:paraId="216D3026"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فللدائن إقامة الدعوى على المدين للمطالبة بحقه مهما كانت مدته ، طالما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ن المدين لم يتمسك بالتقادم</w:t>
      </w:r>
      <w:r w:rsidRPr="003459CA">
        <w:rPr>
          <w:rFonts w:ascii="Simplified Arabic" w:eastAsia="Times New Roman" w:hAnsi="Simplified Arabic" w:cs="Simplified Arabic"/>
          <w:sz w:val="26"/>
          <w:szCs w:val="26"/>
          <w:rtl/>
          <w:lang w:val="en-AU" w:bidi="ar-AE"/>
        </w:rPr>
        <w:tab/>
        <w:t xml:space="preserve"> . </w:t>
      </w:r>
    </w:p>
    <w:p w14:paraId="74DCE2C4"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bidi="ar-AE"/>
        </w:rPr>
        <w:t xml:space="preserve">يؤكد ذلك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المشرع لم يقض بانقضاء الحق الموضوعي بمجرد مرور الزمان المسقط لإقامة الدعوى </w:t>
      </w:r>
      <w:r w:rsidRPr="003459CA">
        <w:rPr>
          <w:rFonts w:ascii="Simplified Arabic" w:eastAsia="Times New Roman" w:hAnsi="Simplified Arabic" w:cs="Simplified Arabic"/>
          <w:sz w:val="26"/>
          <w:szCs w:val="26"/>
          <w:lang w:val="en-AU" w:bidi="ar-AE"/>
        </w:rPr>
        <w:t>)</w:t>
      </w:r>
      <w:r w:rsidRPr="003459CA">
        <w:rPr>
          <w:rStyle w:val="FootnoteReference"/>
          <w:rFonts w:ascii="Simplified Arabic" w:eastAsia="Times New Roman" w:hAnsi="Simplified Arabic" w:cs="Simplified Arabic"/>
          <w:sz w:val="26"/>
          <w:szCs w:val="26"/>
          <w:rtl/>
          <w:lang w:val="en-AU" w:bidi="ar-AE"/>
        </w:rPr>
        <w:footnoteReference w:id="31"/>
      </w:r>
      <w:r w:rsidRPr="003459CA">
        <w:rPr>
          <w:rFonts w:ascii="Simplified Arabic" w:eastAsia="Times New Roman" w:hAnsi="Simplified Arabic" w:cs="Simplified Arabic"/>
          <w:sz w:val="26"/>
          <w:szCs w:val="26"/>
          <w:lang w:bidi="ar-AE"/>
        </w:rPr>
        <w:t>(</w:t>
      </w: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lang w:val="en-AU" w:bidi="ar-AE"/>
        </w:rPr>
        <w:t xml:space="preserve">. </w:t>
      </w: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rPr>
        <w:t>وهذا</w:t>
      </w:r>
      <w:r w:rsidRPr="003459CA">
        <w:rPr>
          <w:rFonts w:ascii="Simplified Arabic" w:eastAsia="Times New Roman" w:hAnsi="Simplified Arabic" w:cs="Simplified Arabic"/>
          <w:sz w:val="26"/>
          <w:szCs w:val="26"/>
          <w:lang w:val="en-AU"/>
        </w:rPr>
        <w:t xml:space="preserve"> </w:t>
      </w:r>
      <w:r w:rsidRPr="003459CA">
        <w:rPr>
          <w:rFonts w:ascii="Simplified Arabic" w:eastAsia="Times New Roman" w:hAnsi="Simplified Arabic" w:cs="Simplified Arabic"/>
          <w:sz w:val="26"/>
          <w:szCs w:val="26"/>
          <w:rtl/>
          <w:lang w:val="en-AU"/>
        </w:rPr>
        <w:t xml:space="preserve"> ما استقرت عليه أحكام الشريعة الإسلامية ، إستناداً إلى الحديث الشريف "</w:t>
      </w:r>
      <w:r w:rsidRPr="003459CA">
        <w:rPr>
          <w:rFonts w:ascii="Simplified Arabic" w:eastAsia="Times New Roman" w:hAnsi="Simplified Arabic" w:cs="Simplified Arabic"/>
          <w:sz w:val="26"/>
          <w:szCs w:val="26"/>
          <w:lang w:val="en-AU"/>
        </w:rPr>
        <w:t xml:space="preserve"> </w:t>
      </w:r>
      <w:r w:rsidRPr="003459CA">
        <w:rPr>
          <w:rFonts w:ascii="Simplified Arabic" w:eastAsia="Times New Roman" w:hAnsi="Simplified Arabic" w:cs="Simplified Arabic"/>
          <w:sz w:val="26"/>
          <w:szCs w:val="26"/>
          <w:rtl/>
          <w:lang w:val="en-AU"/>
        </w:rPr>
        <w:t xml:space="preserve">لا يبطل حق امرئ مسلم وإن قدم " ، كما نصت المادة 1674 من مجلة الأحكام العدلية على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نه " لا يسقط الحق بتقادم الزمن " . </w:t>
      </w:r>
    </w:p>
    <w:p w14:paraId="58F4658C"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p>
    <w:p w14:paraId="32E89EE0" w14:textId="77777777" w:rsidR="006357DC" w:rsidRDefault="006357DC" w:rsidP="006357DC">
      <w:pPr>
        <w:bidi/>
        <w:spacing w:after="0" w:line="240" w:lineRule="auto"/>
        <w:ind w:firstLine="720"/>
        <w:jc w:val="both"/>
        <w:rPr>
          <w:rFonts w:ascii="Simplified Arabic" w:eastAsia="Times New Roman" w:hAnsi="Simplified Arabic" w:cs="Simplified Arabic"/>
          <w:b/>
          <w:bCs/>
          <w:sz w:val="26"/>
          <w:szCs w:val="26"/>
          <w:rtl/>
          <w:lang w:val="en-AU"/>
        </w:rPr>
      </w:pPr>
      <w:r w:rsidRPr="003459CA">
        <w:rPr>
          <w:rFonts w:ascii="Simplified Arabic" w:eastAsia="Times New Roman" w:hAnsi="Simplified Arabic" w:cs="Simplified Arabic"/>
          <w:b/>
          <w:bCs/>
          <w:sz w:val="26"/>
          <w:szCs w:val="26"/>
          <w:rtl/>
          <w:lang w:val="en-AU"/>
        </w:rPr>
        <w:t>ب – عدم جواز الحكم بالتقادم دون دفع ممن له مصلحة فيه .</w:t>
      </w:r>
    </w:p>
    <w:p w14:paraId="762B4B0E" w14:textId="77777777" w:rsidR="006357DC" w:rsidRDefault="006357DC" w:rsidP="006357DC">
      <w:pPr>
        <w:bidi/>
        <w:spacing w:after="0" w:line="240" w:lineRule="auto"/>
        <w:ind w:firstLine="720"/>
        <w:jc w:val="both"/>
        <w:rPr>
          <w:rFonts w:ascii="Simplified Arabic" w:eastAsia="Times New Roman" w:hAnsi="Simplified Arabic" w:cs="Simplified Arabic"/>
          <w:b/>
          <w:bCs/>
          <w:sz w:val="26"/>
          <w:szCs w:val="26"/>
          <w:rtl/>
          <w:lang w:val="en-AU"/>
        </w:rPr>
      </w:pPr>
    </w:p>
    <w:p w14:paraId="60CC3EDF" w14:textId="77777777" w:rsidR="006357DC" w:rsidRDefault="006357DC" w:rsidP="006357DC">
      <w:pPr>
        <w:bidi/>
        <w:spacing w:after="0" w:line="240" w:lineRule="auto"/>
        <w:ind w:firstLine="720"/>
        <w:jc w:val="both"/>
        <w:rPr>
          <w:rFonts w:ascii="Simplified Arabic" w:eastAsia="Times New Roman" w:hAnsi="Simplified Arabic" w:cs="Simplified Arabic"/>
          <w:b/>
          <w:bCs/>
          <w:sz w:val="26"/>
          <w:szCs w:val="26"/>
          <w:rtl/>
          <w:lang w:val="en-AU"/>
        </w:rPr>
      </w:pPr>
    </w:p>
    <w:p w14:paraId="68A0B78D" w14:textId="77777777" w:rsidR="006357DC" w:rsidRPr="003459CA" w:rsidRDefault="006357DC" w:rsidP="006357DC">
      <w:pPr>
        <w:bidi/>
        <w:spacing w:after="0" w:line="240" w:lineRule="auto"/>
        <w:ind w:firstLine="720"/>
        <w:jc w:val="both"/>
        <w:rPr>
          <w:rFonts w:ascii="Simplified Arabic" w:eastAsia="Times New Roman" w:hAnsi="Simplified Arabic" w:cs="Simplified Arabic"/>
          <w:b/>
          <w:bCs/>
          <w:sz w:val="26"/>
          <w:szCs w:val="26"/>
          <w:rtl/>
          <w:lang w:val="en-AU"/>
        </w:rPr>
      </w:pPr>
    </w:p>
    <w:p w14:paraId="7296629E"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تنص</w:t>
      </w:r>
      <w:r w:rsidRPr="003459CA">
        <w:rPr>
          <w:rFonts w:ascii="Simplified Arabic" w:hAnsi="Simplified Arabic" w:cs="Simplified Arabic"/>
          <w:sz w:val="20"/>
          <w:szCs w:val="20"/>
          <w:rtl/>
        </w:rPr>
        <w:t xml:space="preserve"> </w:t>
      </w:r>
      <w:r w:rsidRPr="003459CA">
        <w:rPr>
          <w:rFonts w:ascii="Simplified Arabic" w:eastAsia="Times New Roman" w:hAnsi="Simplified Arabic" w:cs="Simplified Arabic"/>
          <w:sz w:val="26"/>
          <w:szCs w:val="26"/>
          <w:rtl/>
          <w:lang w:val="en-AU"/>
        </w:rPr>
        <w:t xml:space="preserve">المادة رقم 488 معاملات مدنية على أن  : " 1- لا يجوز للقاضي أن يقضي من تلقاء نفسه بعدم سماع الدعوى بل يجب أن يكون ذلك بناء على طلب المدين أو ممن له مصلحة فيه من الخصوم. 2- ويصح </w:t>
      </w:r>
      <w:r w:rsidRPr="003459CA">
        <w:rPr>
          <w:rFonts w:ascii="Simplified Arabic" w:eastAsia="Times New Roman" w:hAnsi="Simplified Arabic" w:cs="Simplified Arabic" w:hint="cs"/>
          <w:sz w:val="26"/>
          <w:szCs w:val="26"/>
          <w:rtl/>
          <w:lang w:val="en-AU"/>
        </w:rPr>
        <w:t>إ</w:t>
      </w:r>
      <w:r w:rsidRPr="003459CA">
        <w:rPr>
          <w:rFonts w:ascii="Simplified Arabic" w:eastAsia="Times New Roman" w:hAnsi="Simplified Arabic" w:cs="Simplified Arabic"/>
          <w:sz w:val="26"/>
          <w:szCs w:val="26"/>
          <w:rtl/>
          <w:lang w:val="en-AU"/>
        </w:rPr>
        <w:t>بداء الدفع في أي حالة تكون عليها الدعوى إلا إذا تبين من الظروف أن صاحب الحق فيه قد تنازل عنه صراحة أو ضمنا " .</w:t>
      </w:r>
    </w:p>
    <w:p w14:paraId="0E524522" w14:textId="77777777" w:rsidR="006357DC" w:rsidRPr="003459CA" w:rsidRDefault="006357DC" w:rsidP="006357DC">
      <w:pPr>
        <w:bidi/>
        <w:spacing w:after="0" w:line="240" w:lineRule="auto"/>
        <w:rPr>
          <w:rFonts w:ascii="Simplified Arabic" w:eastAsia="Times New Roman" w:hAnsi="Simplified Arabic" w:cs="Simplified Arabic"/>
          <w:sz w:val="26"/>
          <w:szCs w:val="26"/>
          <w:rtl/>
          <w:lang w:val="en-AU"/>
        </w:rPr>
      </w:pPr>
    </w:p>
    <w:p w14:paraId="0532EBF7"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وهذا الأثر هو نتيجة طبيعية على أن التقادم ليس من النظام العام . فكما أن التقادم لا يتم بحكم القانون بمجرد مرور مدة معينة على عدم مطالبة الدائن بحقه الموضوعي . فإنه ليس للمحكمة أيضاً أن تقضي به من تلقاء نفسها . ودون أن يدفع المدين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و أي ممن له مصلحة في الدفع به . فإذا سكت من له مصلحة في الدفع بالتقادم قضت المحكمة بالحق الموضوعي . </w:t>
      </w:r>
    </w:p>
    <w:p w14:paraId="0D932891"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ab/>
        <w:t xml:space="preserve">وقد أكدت المذكرة الإيضاحية لقانون المعاملات المدنية هذا المعنى ، عند حديثها عن التقادم فذكرت أنه : لا يجوز للمحكمة أن تقضي بالتقادم من تلقاء نفسها بل لا بد من أن يبديه صاحب الشأن فيه كالمدين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و الحائز بالنسبة للدائن في الرهن (</w:t>
      </w:r>
      <w:r w:rsidRPr="003459CA">
        <w:rPr>
          <w:rStyle w:val="FootnoteReference"/>
          <w:rFonts w:ascii="Simplified Arabic" w:eastAsia="Times New Roman" w:hAnsi="Simplified Arabic" w:cs="Simplified Arabic"/>
          <w:sz w:val="26"/>
          <w:szCs w:val="26"/>
          <w:rtl/>
          <w:lang w:val="en-AU"/>
        </w:rPr>
        <w:footnoteReference w:id="32"/>
      </w:r>
      <w:r w:rsidRPr="003459CA">
        <w:rPr>
          <w:rFonts w:ascii="Simplified Arabic" w:eastAsia="Times New Roman" w:hAnsi="Simplified Arabic" w:cs="Simplified Arabic"/>
          <w:sz w:val="26"/>
          <w:szCs w:val="26"/>
          <w:rtl/>
          <w:lang w:val="en-AU"/>
        </w:rPr>
        <w:t>).</w:t>
      </w:r>
    </w:p>
    <w:p w14:paraId="6188013D"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وقد أجاز المشرع التمسك بالتقادم في أي مرحلة من مراحل الدعوى (</w:t>
      </w:r>
      <w:r w:rsidRPr="003459CA">
        <w:rPr>
          <w:rStyle w:val="FootnoteReference"/>
          <w:rFonts w:ascii="Simplified Arabic" w:eastAsia="Times New Roman" w:hAnsi="Simplified Arabic" w:cs="Simplified Arabic"/>
          <w:sz w:val="26"/>
          <w:szCs w:val="26"/>
          <w:rtl/>
          <w:lang w:val="en-AU"/>
        </w:rPr>
        <w:footnoteReference w:id="33"/>
      </w:r>
      <w:r w:rsidRPr="003459CA">
        <w:rPr>
          <w:rFonts w:ascii="Simplified Arabic" w:eastAsia="Times New Roman" w:hAnsi="Simplified Arabic" w:cs="Simplified Arabic"/>
          <w:sz w:val="26"/>
          <w:szCs w:val="26"/>
          <w:rtl/>
          <w:lang w:val="en-AU"/>
        </w:rPr>
        <w:t xml:space="preserve"> ).</w:t>
      </w:r>
    </w:p>
    <w:p w14:paraId="73FDEAF3" w14:textId="77777777" w:rsidR="00BC076D" w:rsidRPr="00BC076D" w:rsidRDefault="00BC076D" w:rsidP="00BC076D">
      <w:pPr>
        <w:bidi/>
        <w:spacing w:after="0" w:line="240" w:lineRule="auto"/>
        <w:jc w:val="both"/>
        <w:rPr>
          <w:rFonts w:ascii="Simplified Arabic" w:eastAsia="Times New Roman" w:hAnsi="Simplified Arabic" w:cs="Simplified Arabic"/>
          <w:sz w:val="26"/>
          <w:szCs w:val="26"/>
          <w:rtl/>
          <w:lang w:val="en-AU"/>
        </w:rPr>
      </w:pPr>
    </w:p>
    <w:p w14:paraId="31B8644B"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rPr>
      </w:pPr>
      <w:r>
        <w:rPr>
          <w:rFonts w:ascii="Simplified Arabic" w:eastAsia="Times New Roman" w:hAnsi="Simplified Arabic" w:cs="Simplified Arabic" w:hint="cs"/>
          <w:b/>
          <w:bCs/>
          <w:sz w:val="26"/>
          <w:szCs w:val="26"/>
          <w:rtl/>
          <w:lang w:val="en-AU"/>
        </w:rPr>
        <w:lastRenderedPageBreak/>
        <w:t>70</w:t>
      </w:r>
      <w:r w:rsidRPr="003459CA">
        <w:rPr>
          <w:rFonts w:ascii="Simplified Arabic" w:eastAsia="Times New Roman" w:hAnsi="Simplified Arabic" w:cs="Simplified Arabic"/>
          <w:b/>
          <w:bCs/>
          <w:sz w:val="26"/>
          <w:szCs w:val="26"/>
          <w:rtl/>
          <w:lang w:val="en-AU"/>
        </w:rPr>
        <w:t xml:space="preserve"> -رابعاً – عدم جواز النزول عن التقادم قبل ثبوته :</w:t>
      </w:r>
    </w:p>
    <w:p w14:paraId="09EC58A8"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نصت</w:t>
      </w:r>
      <w:r w:rsidRPr="003459CA">
        <w:rPr>
          <w:rFonts w:ascii="Simplified Arabic" w:eastAsia="Times New Roman" w:hAnsi="Simplified Arabic" w:cs="Simplified Arabic"/>
          <w:b/>
          <w:bCs/>
          <w:sz w:val="26"/>
          <w:szCs w:val="26"/>
          <w:rtl/>
          <w:lang w:val="en-AU"/>
        </w:rPr>
        <w:t xml:space="preserve"> </w:t>
      </w:r>
      <w:r w:rsidRPr="003459CA">
        <w:rPr>
          <w:rFonts w:ascii="Simplified Arabic" w:eastAsia="Times New Roman" w:hAnsi="Simplified Arabic" w:cs="Simplified Arabic"/>
          <w:sz w:val="26"/>
          <w:szCs w:val="26"/>
          <w:rtl/>
          <w:lang w:val="en-AU"/>
        </w:rPr>
        <w:t xml:space="preserve">المادة رقم 487 معاملات مدنية على أنه : " 1- لا يجوز التنازل عن الدفع بعدم سماع الدعوى لمرور الزمان قبل ثبوت الحق في هذا الدفع كما لا يجوز الاتفاق على عدم جواز سماع الدعوى بعد مدة تختلف عن المدة التي حددها القانون. 2- ويجوز لكل شخص يملك التصرف في حقوقه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يتنازل ولو تنازلا ضمنيا عن الدفع بعد ثبوت الحق فيه على أن هذا التنازل لا ينفذ في حق الدائنين إذا صدر إضرارا بهم " (</w:t>
      </w:r>
      <w:r w:rsidRPr="003459CA">
        <w:rPr>
          <w:rStyle w:val="FootnoteReference"/>
          <w:rFonts w:ascii="Simplified Arabic" w:eastAsia="Times New Roman" w:hAnsi="Simplified Arabic" w:cs="Simplified Arabic"/>
          <w:sz w:val="26"/>
          <w:szCs w:val="26"/>
          <w:rtl/>
          <w:lang w:val="en-AU"/>
        </w:rPr>
        <w:footnoteReference w:id="34"/>
      </w:r>
      <w:r w:rsidRPr="003459CA">
        <w:rPr>
          <w:rFonts w:ascii="Simplified Arabic" w:eastAsia="Times New Roman" w:hAnsi="Simplified Arabic" w:cs="Simplified Arabic"/>
          <w:sz w:val="26"/>
          <w:szCs w:val="26"/>
          <w:rtl/>
          <w:lang w:val="en-AU"/>
        </w:rPr>
        <w:t>).</w:t>
      </w:r>
    </w:p>
    <w:p w14:paraId="4B11DC7A" w14:textId="77777777" w:rsidR="006357DC" w:rsidRPr="003459CA" w:rsidRDefault="006357DC" w:rsidP="006357DC">
      <w:pPr>
        <w:bidi/>
        <w:spacing w:after="0" w:line="240" w:lineRule="auto"/>
        <w:rPr>
          <w:rFonts w:ascii="Simplified Arabic" w:eastAsia="Times New Roman" w:hAnsi="Simplified Arabic" w:cs="Simplified Arabic"/>
          <w:sz w:val="26"/>
          <w:szCs w:val="26"/>
          <w:rtl/>
          <w:lang w:val="en-AU"/>
        </w:rPr>
      </w:pPr>
    </w:p>
    <w:p w14:paraId="3AB414E6" w14:textId="066BDD62" w:rsidR="00BC076D" w:rsidRDefault="006357DC" w:rsidP="006357DC">
      <w:pPr>
        <w:bidi/>
        <w:spacing w:after="0" w:line="240" w:lineRule="auto"/>
        <w:jc w:val="both"/>
        <w:rPr>
          <w:rFonts w:ascii="Simplified Arabic" w:eastAsia="Times New Roman" w:hAnsi="Simplified Arabic" w:cs="Simplified Arabic"/>
          <w:sz w:val="26"/>
          <w:szCs w:val="26"/>
          <w:rtl/>
          <w:lang w:val="en-AU"/>
        </w:rPr>
      </w:pPr>
      <w:r>
        <w:rPr>
          <w:rFonts w:ascii="Simplified Arabic" w:eastAsia="Times New Roman" w:hAnsi="Simplified Arabic" w:cs="Simplified Arabic" w:hint="cs"/>
          <w:sz w:val="26"/>
          <w:szCs w:val="26"/>
          <w:rtl/>
          <w:lang w:val="en-AU"/>
        </w:rPr>
        <w:t xml:space="preserve">   </w:t>
      </w:r>
      <w:r w:rsidRPr="003459CA">
        <w:rPr>
          <w:rFonts w:ascii="Simplified Arabic" w:eastAsia="Times New Roman" w:hAnsi="Simplified Arabic" w:cs="Simplified Arabic"/>
          <w:sz w:val="26"/>
          <w:szCs w:val="26"/>
          <w:rtl/>
          <w:lang w:val="en-AU"/>
        </w:rPr>
        <w:t>لا يجوز النزول عن التقادم قبل ثبوت الحق فيه ، وينطبق هذا الحظر على جميع أنواع التقادم ، كما لا يجوز الاتفاق على إطالة مدة التقادم ولا تقصيرها.</w:t>
      </w:r>
    </w:p>
    <w:p w14:paraId="394978D1" w14:textId="77777777" w:rsidR="006357DC"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lastRenderedPageBreak/>
        <w:t>ومتى ثبت الحق في التقادم ب</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 xml:space="preserve">كتمال مدته جاز النزول عنه ، ويكون النزول صريحاً أو ضمنياً ، وقاضي الموضوع هو الذي يقدر ما إذا كان موقف المدين يستخلص منه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نه قصد إلى النزول عن الدفع بالتقادم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م لا ، ولا يفترض ذلك عند الشك إذا </w:t>
      </w:r>
      <w:r w:rsidRPr="003459CA">
        <w:rPr>
          <w:rFonts w:ascii="Simplified Arabic" w:eastAsia="Times New Roman" w:hAnsi="Simplified Arabic" w:cs="Simplified Arabic" w:hint="cs"/>
          <w:sz w:val="26"/>
          <w:szCs w:val="26"/>
          <w:rtl/>
          <w:lang w:val="en-AU"/>
        </w:rPr>
        <w:t xml:space="preserve">كان </w:t>
      </w:r>
      <w:r w:rsidRPr="003459CA">
        <w:rPr>
          <w:rFonts w:ascii="Simplified Arabic" w:eastAsia="Times New Roman" w:hAnsi="Simplified Arabic" w:cs="Simplified Arabic"/>
          <w:sz w:val="26"/>
          <w:szCs w:val="26"/>
          <w:rtl/>
          <w:lang w:val="en-AU"/>
        </w:rPr>
        <w:t>النزول عن الحق لا يفترض(</w:t>
      </w:r>
      <w:r w:rsidRPr="003459CA">
        <w:rPr>
          <w:rStyle w:val="FootnoteReference"/>
          <w:rFonts w:ascii="Simplified Arabic" w:eastAsia="Times New Roman" w:hAnsi="Simplified Arabic" w:cs="Simplified Arabic"/>
          <w:sz w:val="26"/>
          <w:szCs w:val="26"/>
          <w:rtl/>
          <w:lang w:val="en-AU"/>
        </w:rPr>
        <w:footnoteReference w:id="35"/>
      </w:r>
      <w:r w:rsidRPr="003459CA">
        <w:rPr>
          <w:rFonts w:ascii="Simplified Arabic" w:eastAsia="Times New Roman" w:hAnsi="Simplified Arabic" w:cs="Simplified Arabic"/>
          <w:sz w:val="26"/>
          <w:szCs w:val="26"/>
          <w:rtl/>
          <w:lang w:val="en-AU"/>
        </w:rPr>
        <w:t xml:space="preserve">) ، وقد يستخلص النزول عن التقادم من طلب المدين مهلة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و تقديمه كفيلاً </w:t>
      </w:r>
      <w:r>
        <w:rPr>
          <w:rFonts w:ascii="Simplified Arabic" w:hAnsi="Simplified Arabic" w:hint="cs"/>
          <w:sz w:val="24"/>
          <w:szCs w:val="24"/>
          <w:rtl/>
        </w:rPr>
        <w:t>أ</w:t>
      </w:r>
      <w:r w:rsidRPr="003459CA">
        <w:rPr>
          <w:rFonts w:ascii="Simplified Arabic" w:eastAsia="Times New Roman" w:hAnsi="Simplified Arabic" w:cs="Simplified Arabic"/>
          <w:sz w:val="26"/>
          <w:szCs w:val="26"/>
          <w:rtl/>
          <w:lang w:val="en-AU"/>
        </w:rPr>
        <w:t xml:space="preserve">و رهناً أو دفعه قسطاً </w:t>
      </w:r>
      <w:r>
        <w:rPr>
          <w:rFonts w:ascii="Simplified Arabic" w:hAnsi="Simplified Arabic" w:hint="cs"/>
          <w:sz w:val="24"/>
          <w:szCs w:val="24"/>
          <w:rtl/>
        </w:rPr>
        <w:t>أ</w:t>
      </w:r>
      <w:r w:rsidRPr="003459CA">
        <w:rPr>
          <w:rFonts w:ascii="Simplified Arabic" w:eastAsia="Times New Roman" w:hAnsi="Simplified Arabic" w:cs="Simplified Arabic"/>
          <w:sz w:val="26"/>
          <w:szCs w:val="26"/>
          <w:rtl/>
          <w:lang w:val="en-AU"/>
        </w:rPr>
        <w:t>و نحو ذلك من الأعمال التي تعتبر إقراراً بالدين .</w:t>
      </w:r>
    </w:p>
    <w:p w14:paraId="52ACC7A9"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p>
    <w:p w14:paraId="49748126"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 ويجب للنزول عن التقادم بعد ثبوت الحق فيه </w:t>
      </w:r>
      <w:r>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تتوافر أهلية التصرف فلا تكفي أهلية الإدارة ، ومن ثم لا يجوز للصغير والمحجور والوصي والقيم النزول عن هذا الحق ، كما لا يستطيع الوكيل النزول بدون توكيل خاص .</w:t>
      </w:r>
    </w:p>
    <w:p w14:paraId="72425C3A" w14:textId="158B7815"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 xml:space="preserve">وإذ حظرت المادة 488 معاملات مدنية التنازل عن التقادم قبل ثبوت الحق فيه ، فإن هدف المشرع من ذلك عدم ترك تحديد مدة التقادم لمشيئة الأفراد، وبالتالي لا يجوز للمتعاقدين الاتفاق على تحديد مدة للتقادم تنقص عن المدة التي حددها القانون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 xml:space="preserve">و منع المدين من التمسك بالتقادم حتى إذا اكتملت مدته ـ ويقع مثل هذا الاتفاق باطلاً بطلاناً مطلقاً لمخالفته للنظام العام لمساسه بالطرق التي حددها القانون لانقضاء الالتزامات وتتصدى له المحكمة ولو </w:t>
      </w:r>
      <w:r>
        <w:rPr>
          <w:rFonts w:ascii="Simplified Arabic" w:eastAsia="Times New Roman" w:hAnsi="Simplified Arabic" w:cs="Simplified Arabic"/>
          <w:sz w:val="26"/>
          <w:szCs w:val="26"/>
          <w:rtl/>
          <w:lang w:val="en-AU"/>
        </w:rPr>
        <w:t>من تلقاء نفسها لبطلان الاتفاق ،</w:t>
      </w:r>
      <w:r w:rsidRPr="003459CA">
        <w:rPr>
          <w:rFonts w:ascii="Simplified Arabic" w:eastAsia="Times New Roman" w:hAnsi="Simplified Arabic" w:cs="Simplified Arabic"/>
          <w:sz w:val="26"/>
          <w:szCs w:val="26"/>
          <w:rtl/>
          <w:lang w:val="en-AU"/>
        </w:rPr>
        <w:t xml:space="preserve">وتخضع بالتالي الالتزام للنصوص التي يخضع لها في تقادمه ، وحينئذ لا تكون قد تصدت للتقادم من تلقاء نفسها وإنما بناء على دفع من المدين بعد </w:t>
      </w:r>
      <w:r w:rsidRPr="003459CA">
        <w:rPr>
          <w:rFonts w:ascii="Simplified Arabic" w:eastAsia="Times New Roman" w:hAnsi="Simplified Arabic" w:cs="Simplified Arabic" w:hint="cs"/>
          <w:sz w:val="26"/>
          <w:szCs w:val="26"/>
          <w:rtl/>
          <w:lang w:val="en-AU"/>
        </w:rPr>
        <w:t>أ</w:t>
      </w:r>
      <w:r w:rsidRPr="003459CA">
        <w:rPr>
          <w:rFonts w:ascii="Simplified Arabic" w:eastAsia="Times New Roman" w:hAnsi="Simplified Arabic" w:cs="Simplified Arabic"/>
          <w:sz w:val="26"/>
          <w:szCs w:val="26"/>
          <w:rtl/>
          <w:lang w:val="en-AU"/>
        </w:rPr>
        <w:t>ن أزالت أمامه الحظر الذي تضمنه الاتفاق ،</w:t>
      </w:r>
    </w:p>
    <w:p w14:paraId="3B482B5D" w14:textId="77777777" w:rsidR="00BC076D" w:rsidRDefault="00BC076D" w:rsidP="00BC076D">
      <w:pPr>
        <w:bidi/>
        <w:spacing w:after="0" w:line="240" w:lineRule="auto"/>
        <w:ind w:firstLine="567"/>
        <w:jc w:val="both"/>
        <w:rPr>
          <w:rFonts w:ascii="Simplified Arabic" w:eastAsia="Times New Roman" w:hAnsi="Simplified Arabic" w:cs="Simplified Arabic"/>
          <w:sz w:val="26"/>
          <w:szCs w:val="26"/>
          <w:rtl/>
          <w:lang w:val="en-AU" w:bidi="ar-AE"/>
        </w:rPr>
      </w:pPr>
    </w:p>
    <w:p w14:paraId="00AECCB5"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lastRenderedPageBreak/>
        <w:t>فإن تمسك بالتقادم وتمسك الدائن بال</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تفاق ، أبطلت ا</w:t>
      </w:r>
      <w:r>
        <w:rPr>
          <w:rFonts w:ascii="Simplified Arabic" w:eastAsia="Times New Roman" w:hAnsi="Simplified Arabic" w:cs="Simplified Arabic"/>
          <w:sz w:val="26"/>
          <w:szCs w:val="26"/>
          <w:rtl/>
          <w:lang w:val="en-AU"/>
        </w:rPr>
        <w:t xml:space="preserve">لمحكمة هذا الاتفاق وتصدت للدفع </w:t>
      </w:r>
      <w:r w:rsidRPr="003459CA">
        <w:rPr>
          <w:rFonts w:ascii="Simplified Arabic" w:eastAsia="Times New Roman" w:hAnsi="Simplified Arabic" w:cs="Simplified Arabic"/>
          <w:sz w:val="26"/>
          <w:szCs w:val="26"/>
          <w:rtl/>
          <w:lang w:val="en-AU"/>
        </w:rPr>
        <w:t>(</w:t>
      </w:r>
      <w:r w:rsidRPr="003459CA">
        <w:rPr>
          <w:rStyle w:val="FootnoteReference"/>
          <w:rFonts w:ascii="Simplified Arabic" w:eastAsia="Times New Roman" w:hAnsi="Simplified Arabic" w:cs="Simplified Arabic"/>
          <w:sz w:val="26"/>
          <w:szCs w:val="26"/>
          <w:rtl/>
          <w:lang w:val="en-AU"/>
        </w:rPr>
        <w:footnoteReference w:id="36"/>
      </w:r>
      <w:r w:rsidRPr="003459CA">
        <w:rPr>
          <w:rFonts w:ascii="Simplified Arabic" w:eastAsia="Times New Roman" w:hAnsi="Simplified Arabic" w:cs="Simplified Arabic"/>
          <w:sz w:val="26"/>
          <w:szCs w:val="26"/>
          <w:rtl/>
          <w:lang w:val="en-AU"/>
        </w:rPr>
        <w:t>).</w:t>
      </w:r>
    </w:p>
    <w:p w14:paraId="4CEFE3D7"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p>
    <w:p w14:paraId="2A048FC4"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val="en-AU"/>
        </w:rPr>
      </w:pPr>
      <w:r>
        <w:rPr>
          <w:rFonts w:ascii="Simplified Arabic" w:eastAsia="Times New Roman" w:hAnsi="Simplified Arabic" w:cs="Simplified Arabic" w:hint="cs"/>
          <w:b/>
          <w:bCs/>
          <w:sz w:val="26"/>
          <w:szCs w:val="26"/>
          <w:rtl/>
          <w:lang w:val="en-AU"/>
        </w:rPr>
        <w:t>71</w:t>
      </w:r>
      <w:r w:rsidRPr="003459CA">
        <w:rPr>
          <w:rFonts w:ascii="Simplified Arabic" w:eastAsia="Times New Roman" w:hAnsi="Simplified Arabic" w:cs="Simplified Arabic"/>
          <w:b/>
          <w:bCs/>
          <w:sz w:val="26"/>
          <w:szCs w:val="26"/>
          <w:rtl/>
          <w:lang w:val="en-AU"/>
        </w:rPr>
        <w:t xml:space="preserve"> - خامساً – سقوط الدين وتوابعه بالتقادم :</w:t>
      </w:r>
    </w:p>
    <w:p w14:paraId="0C0C1D49"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ab/>
        <w:t xml:space="preserve">إذا تمسك المدين بالتقادم في دين تم تقادمه ، فإن الدين يسقط مع توابعه من رهن </w:t>
      </w:r>
      <w:r>
        <w:rPr>
          <w:rFonts w:ascii="Simplified Arabic" w:eastAsia="Times New Roman" w:hAnsi="Simplified Arabic" w:cs="Simplified Arabic" w:hint="cs"/>
          <w:sz w:val="26"/>
          <w:szCs w:val="26"/>
          <w:rtl/>
          <w:lang w:val="en-AU"/>
        </w:rPr>
        <w:t>تأميني ( أو حيازي )</w:t>
      </w:r>
      <w:r w:rsidRPr="003459CA">
        <w:rPr>
          <w:rFonts w:ascii="Simplified Arabic" w:eastAsia="Times New Roman" w:hAnsi="Simplified Arabic" w:cs="Simplified Arabic"/>
          <w:sz w:val="26"/>
          <w:szCs w:val="26"/>
          <w:rtl/>
          <w:lang w:val="en-AU"/>
        </w:rPr>
        <w:t xml:space="preserve"> وحق </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متياز وكفالة وما إلى ذلك . فينقضي الرهن بانقضاء الدين بالتقادم ، فإن التابع يزول بزوال الأصل .</w:t>
      </w:r>
    </w:p>
    <w:p w14:paraId="47CC2D25"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كذلك يسقط مع الدين ما استحق من فوائده وملحقاته ب</w:t>
      </w:r>
      <w:r w:rsidRPr="003459CA">
        <w:rPr>
          <w:rFonts w:ascii="Simplified Arabic" w:eastAsia="Times New Roman" w:hAnsi="Simplified Arabic" w:cs="Simplified Arabic" w:hint="cs"/>
          <w:sz w:val="26"/>
          <w:szCs w:val="26"/>
          <w:rtl/>
          <w:lang w:val="en-AU"/>
        </w:rPr>
        <w:t>ا</w:t>
      </w:r>
      <w:r w:rsidRPr="003459CA">
        <w:rPr>
          <w:rFonts w:ascii="Simplified Arabic" w:eastAsia="Times New Roman" w:hAnsi="Simplified Arabic" w:cs="Simplified Arabic"/>
          <w:sz w:val="26"/>
          <w:szCs w:val="26"/>
          <w:rtl/>
          <w:lang w:val="en-AU"/>
        </w:rPr>
        <w:t>عتبارها توابع الدين .</w:t>
      </w:r>
    </w:p>
    <w:p w14:paraId="7EECC40C" w14:textId="77777777" w:rsidR="006357DC" w:rsidRDefault="006357DC" w:rsidP="006357DC">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حيث نصت المادة رقم 486 معاملات مدنية على أن "عدم سماع الدعوى بالحق لمرور الزمان يستتبع عدم سماعها بتوابعه ولو لم تكتمل المدة المقررة لعدم سماع الدعوى بهذه التوابع ".</w:t>
      </w:r>
    </w:p>
    <w:p w14:paraId="5C29F7DE"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rPr>
      </w:pPr>
    </w:p>
    <w:p w14:paraId="5116F50F"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ولا خلاف في </w:t>
      </w:r>
      <w:r w:rsidRPr="003459CA">
        <w:rPr>
          <w:rFonts w:ascii="Simplified Arabic" w:eastAsia="Times New Roman" w:hAnsi="Simplified Arabic" w:cs="Simplified Arabic" w:hint="cs"/>
          <w:sz w:val="26"/>
          <w:szCs w:val="26"/>
          <w:rtl/>
        </w:rPr>
        <w:t>أ</w:t>
      </w:r>
      <w:r w:rsidRPr="003459CA">
        <w:rPr>
          <w:rFonts w:ascii="Simplified Arabic" w:eastAsia="Times New Roman" w:hAnsi="Simplified Arabic" w:cs="Simplified Arabic"/>
          <w:sz w:val="26"/>
          <w:szCs w:val="26"/>
          <w:rtl/>
        </w:rPr>
        <w:t xml:space="preserve">ن مرور الزمان المانع من سماع الدعوى بالنسبة للحق في ذاته في المطالبة بتوابعه حتى ولو لم تكتمل المدة بالنسبة لها كمصروفات الدين </w:t>
      </w:r>
      <w:r w:rsidRPr="003459CA">
        <w:rPr>
          <w:rFonts w:ascii="Simplified Arabic" w:eastAsia="Times New Roman" w:hAnsi="Simplified Arabic" w:cs="Simplified Arabic" w:hint="cs"/>
          <w:sz w:val="26"/>
          <w:szCs w:val="26"/>
          <w:rtl/>
        </w:rPr>
        <w:t>أ</w:t>
      </w:r>
      <w:r w:rsidRPr="003459CA">
        <w:rPr>
          <w:rFonts w:ascii="Simplified Arabic" w:eastAsia="Times New Roman" w:hAnsi="Simplified Arabic" w:cs="Simplified Arabic"/>
          <w:sz w:val="26"/>
          <w:szCs w:val="26"/>
          <w:rtl/>
        </w:rPr>
        <w:t xml:space="preserve">و التسجيل ، وإذا صدر حكم القضاء بالدين </w:t>
      </w:r>
      <w:r w:rsidRPr="003459CA">
        <w:rPr>
          <w:rFonts w:ascii="Simplified Arabic" w:eastAsia="Times New Roman" w:hAnsi="Simplified Arabic" w:cs="Simplified Arabic" w:hint="cs"/>
          <w:sz w:val="26"/>
          <w:szCs w:val="26"/>
          <w:rtl/>
        </w:rPr>
        <w:t>أ</w:t>
      </w:r>
      <w:r w:rsidRPr="003459CA">
        <w:rPr>
          <w:rFonts w:ascii="Simplified Arabic" w:eastAsia="Times New Roman" w:hAnsi="Simplified Arabic" w:cs="Simplified Arabic"/>
          <w:sz w:val="26"/>
          <w:szCs w:val="26"/>
          <w:rtl/>
        </w:rPr>
        <w:t>و الحق وكان الحكم نهائياً لا يقبل الطعن فإن الحق لا يسقط أبداً إذ تنتفي بالحكم كل منازعة فيه ولا يجوز بالتالي الدفع بعدم سماع الدعوى لأن الدعوى قد استقرت بالحكم فيها ولا سبيل لإعادة طرحها (</w:t>
      </w:r>
      <w:r w:rsidRPr="003459CA">
        <w:rPr>
          <w:rStyle w:val="FootnoteReference"/>
          <w:rFonts w:ascii="Simplified Arabic" w:eastAsia="Times New Roman" w:hAnsi="Simplified Arabic" w:cs="Simplified Arabic"/>
          <w:sz w:val="26"/>
          <w:szCs w:val="26"/>
          <w:rtl/>
        </w:rPr>
        <w:footnoteReference w:id="37"/>
      </w:r>
      <w:r w:rsidRPr="003459CA">
        <w:rPr>
          <w:rFonts w:ascii="Simplified Arabic" w:eastAsia="Times New Roman" w:hAnsi="Simplified Arabic" w:cs="Simplified Arabic"/>
          <w:sz w:val="26"/>
          <w:szCs w:val="26"/>
          <w:rtl/>
        </w:rPr>
        <w:t xml:space="preserve">). </w:t>
      </w:r>
    </w:p>
    <w:p w14:paraId="78C4327D" w14:textId="77777777" w:rsidR="006357DC" w:rsidRPr="003459CA" w:rsidRDefault="006357DC" w:rsidP="006357DC">
      <w:pPr>
        <w:bidi/>
        <w:spacing w:after="0" w:line="240" w:lineRule="auto"/>
        <w:jc w:val="both"/>
        <w:rPr>
          <w:rFonts w:ascii="Simplified Arabic" w:eastAsia="Times New Roman" w:hAnsi="Simplified Arabic" w:cs="Simplified Arabic"/>
          <w:sz w:val="26"/>
          <w:szCs w:val="26"/>
          <w:rtl/>
        </w:rPr>
      </w:pPr>
    </w:p>
    <w:p w14:paraId="19D1D0C9" w14:textId="77777777" w:rsidR="006357DC" w:rsidRDefault="006357DC" w:rsidP="006357DC">
      <w:pPr>
        <w:bidi/>
        <w:spacing w:after="0" w:line="240" w:lineRule="auto"/>
        <w:jc w:val="both"/>
        <w:rPr>
          <w:rFonts w:ascii="Simplified Arabic" w:eastAsia="Times New Roman" w:hAnsi="Simplified Arabic" w:cs="Simplified Arabic"/>
          <w:b/>
          <w:bCs/>
          <w:sz w:val="26"/>
          <w:szCs w:val="26"/>
          <w:rtl/>
        </w:rPr>
      </w:pPr>
      <w:r>
        <w:rPr>
          <w:rFonts w:ascii="Simplified Arabic" w:eastAsia="Times New Roman" w:hAnsi="Simplified Arabic" w:cs="Simplified Arabic" w:hint="cs"/>
          <w:b/>
          <w:bCs/>
          <w:sz w:val="26"/>
          <w:szCs w:val="26"/>
          <w:rtl/>
        </w:rPr>
        <w:t>72</w:t>
      </w:r>
      <w:r w:rsidRPr="003459CA">
        <w:rPr>
          <w:rFonts w:ascii="Simplified Arabic" w:eastAsia="Times New Roman" w:hAnsi="Simplified Arabic" w:cs="Simplified Arabic"/>
          <w:b/>
          <w:bCs/>
          <w:sz w:val="26"/>
          <w:szCs w:val="26"/>
          <w:rtl/>
        </w:rPr>
        <w:t xml:space="preserve"> - سادساً - التقادم يسقط الحق والدعوى معاً :</w:t>
      </w:r>
    </w:p>
    <w:p w14:paraId="0AB057BE" w14:textId="77777777" w:rsidR="006357DC" w:rsidRDefault="006357DC" w:rsidP="006357DC">
      <w:pPr>
        <w:bidi/>
        <w:spacing w:after="0" w:line="240" w:lineRule="auto"/>
        <w:jc w:val="both"/>
        <w:rPr>
          <w:rFonts w:ascii="Simplified Arabic" w:eastAsia="Times New Roman" w:hAnsi="Simplified Arabic" w:cs="Simplified Arabic"/>
          <w:b/>
          <w:bCs/>
          <w:sz w:val="26"/>
          <w:szCs w:val="26"/>
          <w:rtl/>
        </w:rPr>
      </w:pPr>
    </w:p>
    <w:p w14:paraId="68F326DF" w14:textId="77777777" w:rsidR="006357DC" w:rsidRPr="002C3FA8" w:rsidRDefault="006357DC" w:rsidP="006357DC">
      <w:pPr>
        <w:bidi/>
        <w:spacing w:after="0" w:line="240" w:lineRule="auto"/>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0"/>
          <w:szCs w:val="30"/>
          <w:rtl/>
        </w:rPr>
        <w:lastRenderedPageBreak/>
        <w:t xml:space="preserve">                   </w:t>
      </w:r>
      <w:r w:rsidRPr="002C3FA8">
        <w:rPr>
          <w:rFonts w:ascii="Simplified Arabic" w:eastAsia="Times New Roman" w:hAnsi="Simplified Arabic" w:cs="Simplified Arabic"/>
          <w:b/>
          <w:bCs/>
          <w:sz w:val="32"/>
          <w:szCs w:val="32"/>
          <w:rtl/>
        </w:rPr>
        <w:t>الف</w:t>
      </w:r>
      <w:r w:rsidRPr="002C3FA8">
        <w:rPr>
          <w:rFonts w:ascii="Simplified Arabic" w:eastAsia="Times New Roman" w:hAnsi="Simplified Arabic" w:cs="Simplified Arabic" w:hint="cs"/>
          <w:b/>
          <w:bCs/>
          <w:sz w:val="32"/>
          <w:szCs w:val="32"/>
          <w:rtl/>
        </w:rPr>
        <w:t>هــ</w:t>
      </w:r>
      <w:r w:rsidRPr="002C3FA8">
        <w:rPr>
          <w:rFonts w:ascii="Simplified Arabic" w:eastAsia="Times New Roman" w:hAnsi="Simplified Arabic" w:cs="Simplified Arabic"/>
          <w:b/>
          <w:bCs/>
          <w:sz w:val="32"/>
          <w:szCs w:val="32"/>
          <w:rtl/>
        </w:rPr>
        <w:t>رس</w:t>
      </w:r>
    </w:p>
    <w:p w14:paraId="53273996"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lang w:bidi="ar-AE"/>
        </w:rPr>
      </w:pPr>
    </w:p>
    <w:tbl>
      <w:tblPr>
        <w:bidiVisual/>
        <w:tblW w:w="0" w:type="auto"/>
        <w:tblInd w:w="-43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6751"/>
        <w:gridCol w:w="1012"/>
      </w:tblGrid>
      <w:tr w:rsidR="006357DC" w:rsidRPr="003459CA" w14:paraId="6776E2B0" w14:textId="77777777" w:rsidTr="002148ED">
        <w:tc>
          <w:tcPr>
            <w:tcW w:w="6751" w:type="dxa"/>
            <w:tcBorders>
              <w:top w:val="thinThickSmallGap" w:sz="24" w:space="0" w:color="auto"/>
              <w:left w:val="thickThinSmallGap" w:sz="24" w:space="0" w:color="auto"/>
              <w:bottom w:val="single" w:sz="6" w:space="0" w:color="auto"/>
              <w:right w:val="single" w:sz="6" w:space="0" w:color="auto"/>
            </w:tcBorders>
          </w:tcPr>
          <w:p w14:paraId="22D92402" w14:textId="77777777" w:rsidR="006357DC" w:rsidRPr="003459CA" w:rsidRDefault="006357DC" w:rsidP="002148ED">
            <w:pPr>
              <w:bidi/>
              <w:spacing w:after="0" w:line="240" w:lineRule="auto"/>
              <w:jc w:val="center"/>
              <w:rPr>
                <w:rFonts w:ascii="Simplified Arabic" w:eastAsia="Times New Roman" w:hAnsi="Simplified Arabic" w:cs="Simplified Arabic"/>
                <w:b/>
                <w:bCs/>
                <w:sz w:val="26"/>
                <w:szCs w:val="26"/>
                <w:lang w:val="fr-FR" w:bidi="ar-AE"/>
              </w:rPr>
            </w:pPr>
            <w:r>
              <w:rPr>
                <w:rFonts w:ascii="Simplified Arabic" w:eastAsia="Times New Roman" w:hAnsi="Simplified Arabic" w:cs="Simplified Arabic" w:hint="cs"/>
                <w:b/>
                <w:bCs/>
                <w:sz w:val="26"/>
                <w:szCs w:val="26"/>
                <w:rtl/>
                <w:lang w:val="fr-FR" w:bidi="ar-AE"/>
              </w:rPr>
              <w:t xml:space="preserve">    </w:t>
            </w:r>
            <w:r w:rsidRPr="003459CA">
              <w:rPr>
                <w:rFonts w:ascii="Simplified Arabic" w:eastAsia="Times New Roman" w:hAnsi="Simplified Arabic" w:cs="Simplified Arabic"/>
                <w:b/>
                <w:bCs/>
                <w:sz w:val="26"/>
                <w:szCs w:val="26"/>
                <w:rtl/>
                <w:lang w:val="fr-FR" w:bidi="ar-AE"/>
              </w:rPr>
              <w:t>الموض</w:t>
            </w:r>
            <w:r>
              <w:rPr>
                <w:rFonts w:ascii="Simplified Arabic" w:eastAsia="Times New Roman" w:hAnsi="Simplified Arabic" w:cs="Simplified Arabic" w:hint="cs"/>
                <w:b/>
                <w:bCs/>
                <w:sz w:val="26"/>
                <w:szCs w:val="26"/>
                <w:rtl/>
                <w:lang w:val="fr-FR" w:bidi="ar-AE"/>
              </w:rPr>
              <w:t>ـــــــــ</w:t>
            </w:r>
            <w:r w:rsidRPr="003459CA">
              <w:rPr>
                <w:rFonts w:ascii="Simplified Arabic" w:eastAsia="Times New Roman" w:hAnsi="Simplified Arabic" w:cs="Simplified Arabic"/>
                <w:b/>
                <w:bCs/>
                <w:sz w:val="26"/>
                <w:szCs w:val="26"/>
                <w:rtl/>
                <w:lang w:val="fr-FR" w:bidi="ar-AE"/>
              </w:rPr>
              <w:t>وع</w:t>
            </w:r>
          </w:p>
        </w:tc>
        <w:tc>
          <w:tcPr>
            <w:tcW w:w="1012" w:type="dxa"/>
            <w:tcBorders>
              <w:top w:val="thinThickSmallGap" w:sz="24" w:space="0" w:color="auto"/>
              <w:left w:val="single" w:sz="6" w:space="0" w:color="auto"/>
              <w:bottom w:val="single" w:sz="6" w:space="0" w:color="auto"/>
              <w:right w:val="thinThickSmallGap" w:sz="24" w:space="0" w:color="auto"/>
            </w:tcBorders>
          </w:tcPr>
          <w:p w14:paraId="7F472582" w14:textId="77777777" w:rsidR="006357DC" w:rsidRPr="003459CA" w:rsidRDefault="006357DC" w:rsidP="002148ED">
            <w:pPr>
              <w:bidi/>
              <w:spacing w:after="0" w:line="240" w:lineRule="auto"/>
              <w:jc w:val="both"/>
              <w:rPr>
                <w:rFonts w:ascii="Simplified Arabic" w:eastAsia="Times New Roman" w:hAnsi="Simplified Arabic" w:cs="Simplified Arabic"/>
                <w:b/>
                <w:bCs/>
                <w:sz w:val="26"/>
                <w:szCs w:val="26"/>
              </w:rPr>
            </w:pPr>
            <w:r w:rsidRPr="003459CA">
              <w:rPr>
                <w:rFonts w:ascii="Simplified Arabic" w:eastAsia="Times New Roman" w:hAnsi="Simplified Arabic" w:cs="Simplified Arabic"/>
                <w:b/>
                <w:bCs/>
                <w:sz w:val="26"/>
                <w:szCs w:val="26"/>
                <w:rtl/>
              </w:rPr>
              <w:t>الصفحة</w:t>
            </w:r>
          </w:p>
        </w:tc>
      </w:tr>
      <w:tr w:rsidR="006357DC" w:rsidRPr="003459CA" w14:paraId="0C65794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6E35A85"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lang w:val="fr-FR" w:bidi="ar-AE"/>
              </w:rPr>
            </w:pPr>
            <w:r w:rsidRPr="003459CA">
              <w:rPr>
                <w:rFonts w:ascii="Simplified Arabic" w:eastAsia="Times New Roman" w:hAnsi="Simplified Arabic" w:cs="Simplified Arabic"/>
                <w:sz w:val="26"/>
                <w:szCs w:val="26"/>
                <w:rtl/>
                <w:lang w:val="fr-FR" w:bidi="ar-AE"/>
              </w:rPr>
              <w:t>المقدمة</w:t>
            </w:r>
          </w:p>
        </w:tc>
        <w:tc>
          <w:tcPr>
            <w:tcW w:w="1012" w:type="dxa"/>
            <w:tcBorders>
              <w:top w:val="single" w:sz="6" w:space="0" w:color="auto"/>
              <w:left w:val="single" w:sz="6" w:space="0" w:color="auto"/>
              <w:bottom w:val="single" w:sz="6" w:space="0" w:color="auto"/>
              <w:right w:val="thinThickSmallGap" w:sz="24" w:space="0" w:color="auto"/>
            </w:tcBorders>
          </w:tcPr>
          <w:p w14:paraId="6B147F5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lang w:bidi="ar-AE"/>
              </w:rPr>
            </w:pPr>
            <w:r w:rsidRPr="003459CA">
              <w:rPr>
                <w:rFonts w:ascii="Simplified Arabic" w:eastAsia="Times New Roman" w:hAnsi="Simplified Arabic" w:cs="Simplified Arabic"/>
                <w:sz w:val="26"/>
                <w:szCs w:val="26"/>
                <w:rtl/>
                <w:lang w:bidi="ar-AE"/>
              </w:rPr>
              <w:t>3</w:t>
            </w:r>
          </w:p>
        </w:tc>
      </w:tr>
      <w:tr w:rsidR="006357DC" w:rsidRPr="003459CA" w14:paraId="19D297B5"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BEA88D0"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خطة البحث</w:t>
            </w:r>
          </w:p>
        </w:tc>
        <w:tc>
          <w:tcPr>
            <w:tcW w:w="1012" w:type="dxa"/>
            <w:tcBorders>
              <w:top w:val="single" w:sz="6" w:space="0" w:color="auto"/>
              <w:left w:val="single" w:sz="6" w:space="0" w:color="auto"/>
              <w:bottom w:val="single" w:sz="6" w:space="0" w:color="auto"/>
              <w:right w:val="thinThickSmallGap" w:sz="24" w:space="0" w:color="auto"/>
            </w:tcBorders>
          </w:tcPr>
          <w:p w14:paraId="5F8F5C3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w:t>
            </w:r>
          </w:p>
        </w:tc>
      </w:tr>
      <w:tr w:rsidR="006357DC" w:rsidRPr="003459CA" w14:paraId="690407C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F12C4C9" w14:textId="77777777" w:rsidR="006357DC" w:rsidRPr="003459CA" w:rsidRDefault="006357DC" w:rsidP="002148ED">
            <w:pPr>
              <w:bidi/>
              <w:spacing w:after="0" w:line="240" w:lineRule="auto"/>
              <w:jc w:val="center"/>
              <w:rPr>
                <w:rFonts w:ascii="Simplified Arabic" w:eastAsia="Times New Roman" w:hAnsi="Simplified Arabic" w:cs="Simplified Arabic"/>
                <w:b/>
                <w:bCs/>
                <w:sz w:val="30"/>
                <w:szCs w:val="30"/>
                <w:rtl/>
                <w:lang w:val="fr-FR"/>
              </w:rPr>
            </w:pPr>
            <w:r>
              <w:rPr>
                <w:rFonts w:ascii="Simplified Arabic" w:eastAsia="Times New Roman" w:hAnsi="Simplified Arabic" w:cs="Simplified Arabic" w:hint="cs"/>
                <w:b/>
                <w:bCs/>
                <w:sz w:val="30"/>
                <w:szCs w:val="30"/>
                <w:rtl/>
                <w:lang w:val="fr-FR"/>
              </w:rPr>
              <w:t>فصل تمهيدي</w:t>
            </w:r>
          </w:p>
          <w:p w14:paraId="4E14182E" w14:textId="77777777" w:rsidR="006357DC" w:rsidRPr="003459CA" w:rsidRDefault="006357DC" w:rsidP="002148ED">
            <w:pPr>
              <w:bidi/>
              <w:spacing w:after="0" w:line="240" w:lineRule="auto"/>
              <w:jc w:val="center"/>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b/>
                <w:bCs/>
                <w:sz w:val="30"/>
                <w:szCs w:val="30"/>
                <w:rtl/>
                <w:lang w:val="fr-FR" w:bidi="ar-AE"/>
              </w:rPr>
              <w:t>الملامح الرئيسية للرهن التأميني</w:t>
            </w:r>
          </w:p>
        </w:tc>
        <w:tc>
          <w:tcPr>
            <w:tcW w:w="1012" w:type="dxa"/>
            <w:tcBorders>
              <w:top w:val="single" w:sz="6" w:space="0" w:color="auto"/>
              <w:left w:val="single" w:sz="6" w:space="0" w:color="auto"/>
              <w:bottom w:val="single" w:sz="6" w:space="0" w:color="auto"/>
              <w:right w:val="thinThickSmallGap" w:sz="24" w:space="0" w:color="auto"/>
            </w:tcBorders>
          </w:tcPr>
          <w:p w14:paraId="73F0694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12</w:t>
            </w:r>
          </w:p>
        </w:tc>
      </w:tr>
      <w:tr w:rsidR="006357DC" w:rsidRPr="003459CA" w14:paraId="3089546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AAB8402" w14:textId="77777777" w:rsidR="006357DC" w:rsidRPr="003459CA" w:rsidRDefault="006357DC" w:rsidP="002148ED">
            <w:pPr>
              <w:bidi/>
              <w:spacing w:after="0" w:line="240" w:lineRule="auto"/>
              <w:jc w:val="both"/>
              <w:rPr>
                <w:rFonts w:ascii="Simplified Arabic" w:eastAsia="Times New Roman" w:hAnsi="Simplified Arabic" w:cs="Simplified Arabic"/>
                <w:b/>
                <w:bCs/>
                <w:sz w:val="26"/>
                <w:szCs w:val="26"/>
                <w:lang w:val="fr-FR"/>
              </w:rPr>
            </w:pPr>
            <w:r w:rsidRPr="00636095">
              <w:rPr>
                <w:rFonts w:ascii="Simplified Arabic" w:eastAsia="Times New Roman" w:hAnsi="Simplified Arabic" w:cs="Simplified Arabic"/>
                <w:b/>
                <w:bCs/>
                <w:sz w:val="26"/>
                <w:szCs w:val="26"/>
                <w:rtl/>
                <w:lang w:val="fr-FR" w:bidi="ar-AE"/>
              </w:rPr>
              <w:t xml:space="preserve">المبحث الأول  </w:t>
            </w:r>
            <w:r>
              <w:rPr>
                <w:rFonts w:ascii="Simplified Arabic" w:eastAsia="Times New Roman" w:hAnsi="Simplified Arabic" w:cs="Simplified Arabic" w:hint="cs"/>
                <w:b/>
                <w:bCs/>
                <w:sz w:val="26"/>
                <w:szCs w:val="26"/>
                <w:rtl/>
                <w:lang w:val="fr-FR" w:bidi="ar-AE"/>
              </w:rPr>
              <w:t>:</w:t>
            </w:r>
            <w:r w:rsidRPr="00636095">
              <w:rPr>
                <w:rFonts w:ascii="Simplified Arabic" w:eastAsia="Times New Roman" w:hAnsi="Simplified Arabic" w:cs="Simplified Arabic"/>
                <w:b/>
                <w:bCs/>
                <w:sz w:val="26"/>
                <w:szCs w:val="26"/>
                <w:rtl/>
                <w:lang w:val="fr-FR" w:bidi="ar-AE"/>
              </w:rPr>
              <w:t xml:space="preserve">  </w:t>
            </w:r>
            <w:r w:rsidRPr="003459CA">
              <w:rPr>
                <w:rFonts w:ascii="Simplified Arabic" w:eastAsia="Times New Roman" w:hAnsi="Simplified Arabic" w:cs="Simplified Arabic"/>
                <w:b/>
                <w:bCs/>
                <w:sz w:val="26"/>
                <w:szCs w:val="26"/>
                <w:rtl/>
                <w:lang w:val="fr-FR" w:bidi="ar-AE"/>
              </w:rPr>
              <w:t>ماهية الرهن وخصائصه وأنواعه</w:t>
            </w:r>
          </w:p>
        </w:tc>
        <w:tc>
          <w:tcPr>
            <w:tcW w:w="1012" w:type="dxa"/>
            <w:tcBorders>
              <w:top w:val="single" w:sz="6" w:space="0" w:color="auto"/>
              <w:left w:val="single" w:sz="6" w:space="0" w:color="auto"/>
              <w:bottom w:val="single" w:sz="6" w:space="0" w:color="auto"/>
              <w:right w:val="thinThickSmallGap" w:sz="24" w:space="0" w:color="auto"/>
            </w:tcBorders>
          </w:tcPr>
          <w:p w14:paraId="00F42057"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Pr>
            </w:pPr>
            <w:r>
              <w:rPr>
                <w:rFonts w:ascii="Simplified Arabic" w:eastAsia="Times New Roman" w:hAnsi="Simplified Arabic" w:cs="Simplified Arabic" w:hint="cs"/>
                <w:sz w:val="26"/>
                <w:szCs w:val="26"/>
                <w:rtl/>
              </w:rPr>
              <w:t>13</w:t>
            </w:r>
          </w:p>
        </w:tc>
      </w:tr>
      <w:tr w:rsidR="006357DC" w:rsidRPr="003459CA" w14:paraId="3212E37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F774F4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636095">
              <w:rPr>
                <w:rFonts w:ascii="Simplified Arabic" w:eastAsia="Times New Roman" w:hAnsi="Simplified Arabic" w:cs="Simplified Arabic"/>
                <w:sz w:val="26"/>
                <w:szCs w:val="26"/>
                <w:rtl/>
                <w:lang w:val="fr-FR" w:bidi="ar-AE"/>
              </w:rPr>
              <w:t xml:space="preserve">المطلب الأول </w:t>
            </w:r>
            <w:r>
              <w:rPr>
                <w:rFonts w:ascii="Simplified Arabic" w:eastAsia="Times New Roman" w:hAnsi="Simplified Arabic" w:cs="Simplified Arabic" w:hint="cs"/>
                <w:sz w:val="26"/>
                <w:szCs w:val="26"/>
                <w:rtl/>
                <w:lang w:val="fr-FR" w:bidi="ar-AE"/>
              </w:rPr>
              <w:t xml:space="preserve">: </w:t>
            </w:r>
            <w:r w:rsidRPr="003459CA">
              <w:rPr>
                <w:rFonts w:ascii="Simplified Arabic" w:eastAsia="Times New Roman" w:hAnsi="Simplified Arabic" w:cs="Simplified Arabic"/>
                <w:sz w:val="26"/>
                <w:szCs w:val="26"/>
                <w:rtl/>
                <w:lang w:val="fr-FR" w:bidi="ar-AE"/>
              </w:rPr>
              <w:t>ماهية الرهن ومشروعيته</w:t>
            </w:r>
          </w:p>
          <w:p w14:paraId="3F2A338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lang w:val="fr-FR" w:bidi="ar-AE"/>
              </w:rPr>
              <w:t xml:space="preserve">         </w:t>
            </w:r>
            <w:r w:rsidRPr="00636095">
              <w:rPr>
                <w:rFonts w:ascii="Simplified Arabic" w:eastAsia="Times New Roman" w:hAnsi="Simplified Arabic" w:cs="Simplified Arabic"/>
                <w:sz w:val="26"/>
                <w:szCs w:val="26"/>
                <w:rtl/>
                <w:lang w:val="fr-FR" w:bidi="ar-AE"/>
              </w:rPr>
              <w:t>الفرع الأول</w:t>
            </w:r>
            <w:r w:rsidRPr="003459CA">
              <w:rPr>
                <w:rFonts w:ascii="Simplified Arabic" w:eastAsia="Times New Roman" w:hAnsi="Simplified Arabic" w:cs="Simplified Arabic"/>
                <w:sz w:val="26"/>
                <w:szCs w:val="26"/>
                <w:rtl/>
                <w:lang w:val="fr-FR" w:bidi="ar-AE"/>
              </w:rPr>
              <w:t xml:space="preserve">:  </w:t>
            </w:r>
            <w:r w:rsidRPr="003459CA">
              <w:rPr>
                <w:rFonts w:ascii="Simplified Arabic" w:eastAsia="Times New Roman" w:hAnsi="Simplified Arabic" w:cs="Simplified Arabic" w:hint="cs"/>
                <w:sz w:val="26"/>
                <w:szCs w:val="26"/>
                <w:rtl/>
                <w:lang w:val="fr-FR" w:bidi="ar-AE"/>
              </w:rPr>
              <w:t>تعريف</w:t>
            </w:r>
            <w:r w:rsidRPr="003459CA">
              <w:rPr>
                <w:rFonts w:ascii="Simplified Arabic" w:eastAsia="Times New Roman" w:hAnsi="Simplified Arabic" w:cs="Simplified Arabic"/>
                <w:sz w:val="26"/>
                <w:szCs w:val="26"/>
                <w:rtl/>
                <w:lang w:val="fr-FR" w:bidi="ar-AE"/>
              </w:rPr>
              <w:t xml:space="preserve"> الرهن  ومشروعيته </w:t>
            </w:r>
          </w:p>
        </w:tc>
        <w:tc>
          <w:tcPr>
            <w:tcW w:w="1012" w:type="dxa"/>
            <w:tcBorders>
              <w:top w:val="single" w:sz="6" w:space="0" w:color="auto"/>
              <w:left w:val="single" w:sz="6" w:space="0" w:color="auto"/>
              <w:bottom w:val="single" w:sz="6" w:space="0" w:color="auto"/>
              <w:right w:val="thinThickSmallGap" w:sz="24" w:space="0" w:color="auto"/>
            </w:tcBorders>
          </w:tcPr>
          <w:p w14:paraId="510859A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p>
          <w:p w14:paraId="4863A738"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1</w:t>
            </w:r>
            <w:r>
              <w:rPr>
                <w:rFonts w:ascii="Simplified Arabic" w:eastAsia="Times New Roman" w:hAnsi="Simplified Arabic" w:cs="Simplified Arabic" w:hint="cs"/>
                <w:sz w:val="26"/>
                <w:szCs w:val="26"/>
                <w:rtl/>
              </w:rPr>
              <w:t>4</w:t>
            </w:r>
          </w:p>
        </w:tc>
      </w:tr>
      <w:tr w:rsidR="006357DC" w:rsidRPr="003459CA" w14:paraId="01CDB21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9AE0B94"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w:t>
            </w:r>
            <w:r>
              <w:rPr>
                <w:rFonts w:ascii="Simplified Arabic" w:eastAsia="Times New Roman" w:hAnsi="Simplified Arabic" w:cs="Simplified Arabic" w:hint="cs"/>
                <w:sz w:val="26"/>
                <w:szCs w:val="26"/>
                <w:rtl/>
                <w:lang w:val="fr-FR" w:bidi="ar-AE"/>
              </w:rPr>
              <w:t>الفرع الثاني</w:t>
            </w:r>
            <w:r w:rsidRPr="003459CA">
              <w:rPr>
                <w:rFonts w:ascii="Simplified Arabic" w:eastAsia="Times New Roman" w:hAnsi="Simplified Arabic" w:cs="Simplified Arabic"/>
                <w:sz w:val="26"/>
                <w:szCs w:val="26"/>
                <w:rtl/>
                <w:lang w:val="fr-FR" w:bidi="ar-AE"/>
              </w:rPr>
              <w:t>: أنواع الرهن</w:t>
            </w:r>
          </w:p>
        </w:tc>
        <w:tc>
          <w:tcPr>
            <w:tcW w:w="1012" w:type="dxa"/>
            <w:tcBorders>
              <w:top w:val="single" w:sz="6" w:space="0" w:color="auto"/>
              <w:left w:val="single" w:sz="6" w:space="0" w:color="auto"/>
              <w:bottom w:val="single" w:sz="6" w:space="0" w:color="auto"/>
              <w:right w:val="thinThickSmallGap" w:sz="24" w:space="0" w:color="auto"/>
            </w:tcBorders>
          </w:tcPr>
          <w:p w14:paraId="44FEE61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20</w:t>
            </w:r>
          </w:p>
        </w:tc>
      </w:tr>
      <w:tr w:rsidR="006357DC" w:rsidRPr="003459CA" w14:paraId="25E2D6DC"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B36A70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الم</w:t>
            </w:r>
            <w:r>
              <w:rPr>
                <w:rFonts w:ascii="Simplified Arabic" w:eastAsia="Times New Roman" w:hAnsi="Simplified Arabic" w:cs="Simplified Arabic" w:hint="cs"/>
                <w:sz w:val="26"/>
                <w:szCs w:val="26"/>
                <w:rtl/>
                <w:lang w:val="fr-FR" w:bidi="ar-AE"/>
              </w:rPr>
              <w:t>طلب</w:t>
            </w:r>
            <w:r w:rsidRPr="003459CA">
              <w:rPr>
                <w:rFonts w:ascii="Simplified Arabic" w:eastAsia="Times New Roman" w:hAnsi="Simplified Arabic" w:cs="Simplified Arabic"/>
                <w:sz w:val="26"/>
                <w:szCs w:val="26"/>
                <w:rtl/>
                <w:lang w:val="fr-FR" w:bidi="ar-AE"/>
              </w:rPr>
              <w:t xml:space="preserve"> الثاني - خصائص الرهنِ</w:t>
            </w:r>
          </w:p>
          <w:p w14:paraId="0AB27CA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ال</w:t>
            </w:r>
            <w:r>
              <w:rPr>
                <w:rFonts w:ascii="Simplified Arabic" w:eastAsia="Times New Roman" w:hAnsi="Simplified Arabic" w:cs="Simplified Arabic" w:hint="cs"/>
                <w:sz w:val="26"/>
                <w:szCs w:val="26"/>
                <w:rtl/>
                <w:lang w:val="fr-FR" w:bidi="ar-AE"/>
              </w:rPr>
              <w:t>فرع</w:t>
            </w:r>
            <w:r w:rsidRPr="003459CA">
              <w:rPr>
                <w:rFonts w:ascii="Simplified Arabic" w:eastAsia="Times New Roman" w:hAnsi="Simplified Arabic" w:cs="Simplified Arabic"/>
                <w:sz w:val="26"/>
                <w:szCs w:val="26"/>
                <w:rtl/>
                <w:lang w:val="fr-FR" w:bidi="ar-AE"/>
              </w:rPr>
              <w:t xml:space="preserve"> الأول : الرهن التأميني باعتباره تأميناً عينياً  </w:t>
            </w:r>
          </w:p>
        </w:tc>
        <w:tc>
          <w:tcPr>
            <w:tcW w:w="1012" w:type="dxa"/>
            <w:tcBorders>
              <w:top w:val="single" w:sz="6" w:space="0" w:color="auto"/>
              <w:left w:val="single" w:sz="6" w:space="0" w:color="auto"/>
              <w:bottom w:val="single" w:sz="6" w:space="0" w:color="auto"/>
              <w:right w:val="thinThickSmallGap" w:sz="24" w:space="0" w:color="auto"/>
            </w:tcBorders>
          </w:tcPr>
          <w:p w14:paraId="7C64091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bidi="ar-AE"/>
              </w:rPr>
            </w:pPr>
          </w:p>
          <w:p w14:paraId="24BDF168"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bidi="ar-AE"/>
              </w:rPr>
            </w:pPr>
            <w:r w:rsidRPr="003459CA">
              <w:rPr>
                <w:rFonts w:ascii="Simplified Arabic" w:eastAsia="Times New Roman" w:hAnsi="Simplified Arabic" w:cs="Simplified Arabic"/>
                <w:sz w:val="26"/>
                <w:szCs w:val="26"/>
                <w:rtl/>
                <w:lang w:bidi="ar-AE"/>
              </w:rPr>
              <w:t>2</w:t>
            </w:r>
            <w:r>
              <w:rPr>
                <w:rFonts w:ascii="Simplified Arabic" w:eastAsia="Times New Roman" w:hAnsi="Simplified Arabic" w:cs="Simplified Arabic" w:hint="cs"/>
                <w:sz w:val="26"/>
                <w:szCs w:val="26"/>
                <w:rtl/>
                <w:lang w:bidi="ar-AE"/>
              </w:rPr>
              <w:t>3</w:t>
            </w:r>
          </w:p>
        </w:tc>
      </w:tr>
      <w:tr w:rsidR="006357DC" w:rsidRPr="003459CA" w14:paraId="15C77C8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A59729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ال</w:t>
            </w:r>
            <w:r>
              <w:rPr>
                <w:rFonts w:ascii="Simplified Arabic" w:eastAsia="Times New Roman" w:hAnsi="Simplified Arabic" w:cs="Simplified Arabic" w:hint="cs"/>
                <w:sz w:val="26"/>
                <w:szCs w:val="26"/>
                <w:rtl/>
                <w:lang w:val="fr-FR" w:bidi="ar-AE"/>
              </w:rPr>
              <w:t>فرع</w:t>
            </w:r>
            <w:r w:rsidRPr="003459CA">
              <w:rPr>
                <w:rFonts w:ascii="Simplified Arabic" w:eastAsia="Times New Roman" w:hAnsi="Simplified Arabic" w:cs="Simplified Arabic"/>
                <w:sz w:val="26"/>
                <w:szCs w:val="26"/>
                <w:rtl/>
                <w:lang w:val="fr-FR" w:bidi="ar-AE"/>
              </w:rPr>
              <w:t xml:space="preserve"> الثاني : الرهن التأميني باعتبار مصدره</w:t>
            </w:r>
          </w:p>
        </w:tc>
        <w:tc>
          <w:tcPr>
            <w:tcW w:w="1012" w:type="dxa"/>
            <w:tcBorders>
              <w:top w:val="single" w:sz="6" w:space="0" w:color="auto"/>
              <w:left w:val="single" w:sz="6" w:space="0" w:color="auto"/>
              <w:bottom w:val="single" w:sz="6" w:space="0" w:color="auto"/>
              <w:right w:val="thinThickSmallGap" w:sz="24" w:space="0" w:color="auto"/>
            </w:tcBorders>
          </w:tcPr>
          <w:p w14:paraId="248ECFD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28</w:t>
            </w:r>
          </w:p>
        </w:tc>
      </w:tr>
      <w:tr w:rsidR="006357DC" w:rsidRPr="003459CA" w14:paraId="6DFF95E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1008389" w14:textId="77777777" w:rsidR="006357DC" w:rsidRPr="003459CA" w:rsidRDefault="006357DC" w:rsidP="002148ED">
            <w:pPr>
              <w:bidi/>
              <w:spacing w:after="0" w:line="240" w:lineRule="auto"/>
              <w:jc w:val="both"/>
              <w:rPr>
                <w:rFonts w:ascii="Simplified Arabic" w:eastAsia="Times New Roman" w:hAnsi="Simplified Arabic" w:cs="Simplified Arabic"/>
                <w:b/>
                <w:bCs/>
                <w:sz w:val="26"/>
                <w:szCs w:val="26"/>
                <w:rtl/>
                <w:lang w:val="fr-FR" w:bidi="ar-AE"/>
              </w:rPr>
            </w:pPr>
            <w:r w:rsidRPr="003459CA">
              <w:rPr>
                <w:rFonts w:ascii="Simplified Arabic" w:eastAsia="Times New Roman" w:hAnsi="Simplified Arabic" w:cs="Simplified Arabic"/>
                <w:b/>
                <w:bCs/>
                <w:sz w:val="26"/>
                <w:szCs w:val="26"/>
                <w:rtl/>
                <w:lang w:val="fr-FR" w:bidi="ar-AE"/>
              </w:rPr>
              <w:t>ال</w:t>
            </w:r>
            <w:r>
              <w:rPr>
                <w:rFonts w:ascii="Simplified Arabic" w:eastAsia="Times New Roman" w:hAnsi="Simplified Arabic" w:cs="Simplified Arabic" w:hint="cs"/>
                <w:b/>
                <w:bCs/>
                <w:sz w:val="26"/>
                <w:szCs w:val="26"/>
                <w:rtl/>
                <w:lang w:val="fr-FR" w:bidi="ar-AE"/>
              </w:rPr>
              <w:t>مبحث</w:t>
            </w:r>
            <w:r w:rsidRPr="003459CA">
              <w:rPr>
                <w:rFonts w:ascii="Simplified Arabic" w:eastAsia="Times New Roman" w:hAnsi="Simplified Arabic" w:cs="Simplified Arabic"/>
                <w:b/>
                <w:bCs/>
                <w:sz w:val="26"/>
                <w:szCs w:val="26"/>
                <w:rtl/>
                <w:lang w:val="fr-FR" w:bidi="ar-AE"/>
              </w:rPr>
              <w:t xml:space="preserve"> الثاني</w:t>
            </w:r>
            <w:r w:rsidRPr="003459CA">
              <w:rPr>
                <w:rFonts w:ascii="Simplified Arabic" w:eastAsia="Times New Roman" w:hAnsi="Simplified Arabic" w:cs="Simplified Arabic" w:hint="cs"/>
                <w:b/>
                <w:bCs/>
                <w:sz w:val="26"/>
                <w:szCs w:val="26"/>
                <w:rtl/>
                <w:lang w:val="fr-FR" w:bidi="ar-AE"/>
              </w:rPr>
              <w:t xml:space="preserve">  -  </w:t>
            </w:r>
            <w:r w:rsidRPr="003459CA">
              <w:rPr>
                <w:rFonts w:ascii="Simplified Arabic" w:eastAsia="Times New Roman" w:hAnsi="Simplified Arabic" w:cs="Simplified Arabic"/>
                <w:b/>
                <w:bCs/>
                <w:sz w:val="26"/>
                <w:szCs w:val="26"/>
                <w:rtl/>
                <w:lang w:val="fr-FR" w:bidi="ar-AE"/>
              </w:rPr>
              <w:t xml:space="preserve">أحكام </w:t>
            </w:r>
            <w:r w:rsidRPr="003459CA">
              <w:rPr>
                <w:rFonts w:ascii="Simplified Arabic" w:eastAsia="Times New Roman" w:hAnsi="Simplified Arabic" w:cs="Simplified Arabic" w:hint="cs"/>
                <w:b/>
                <w:bCs/>
                <w:sz w:val="26"/>
                <w:szCs w:val="26"/>
                <w:rtl/>
                <w:lang w:val="fr-FR" w:bidi="ar-AE"/>
              </w:rPr>
              <w:t>الرهن</w:t>
            </w:r>
            <w:r>
              <w:rPr>
                <w:rFonts w:ascii="Simplified Arabic" w:eastAsia="Times New Roman" w:hAnsi="Simplified Arabic" w:cs="Simplified Arabic" w:hint="cs"/>
                <w:b/>
                <w:bCs/>
                <w:sz w:val="26"/>
                <w:szCs w:val="26"/>
                <w:rtl/>
                <w:lang w:val="fr-FR" w:bidi="ar-AE"/>
              </w:rPr>
              <w:t xml:space="preserve"> التأميني</w:t>
            </w:r>
          </w:p>
        </w:tc>
        <w:tc>
          <w:tcPr>
            <w:tcW w:w="1012" w:type="dxa"/>
            <w:tcBorders>
              <w:top w:val="single" w:sz="6" w:space="0" w:color="auto"/>
              <w:left w:val="single" w:sz="6" w:space="0" w:color="auto"/>
              <w:bottom w:val="single" w:sz="6" w:space="0" w:color="auto"/>
              <w:right w:val="thinThickSmallGap" w:sz="24" w:space="0" w:color="auto"/>
            </w:tcBorders>
          </w:tcPr>
          <w:p w14:paraId="2BC2DF5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30</w:t>
            </w:r>
          </w:p>
        </w:tc>
      </w:tr>
      <w:tr w:rsidR="006357DC" w:rsidRPr="003459CA" w14:paraId="144C86B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1278635"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الأول - أحكام الدائن المرتهن</w:t>
            </w:r>
          </w:p>
        </w:tc>
        <w:tc>
          <w:tcPr>
            <w:tcW w:w="1012" w:type="dxa"/>
            <w:tcBorders>
              <w:top w:val="single" w:sz="6" w:space="0" w:color="auto"/>
              <w:left w:val="single" w:sz="6" w:space="0" w:color="auto"/>
              <w:bottom w:val="single" w:sz="6" w:space="0" w:color="auto"/>
              <w:right w:val="thinThickSmallGap" w:sz="24" w:space="0" w:color="auto"/>
            </w:tcBorders>
          </w:tcPr>
          <w:p w14:paraId="64546250"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31</w:t>
            </w:r>
          </w:p>
        </w:tc>
      </w:tr>
      <w:tr w:rsidR="006357DC" w:rsidRPr="003459CA" w14:paraId="5E0B8BA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6D8A56B"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الثاني -  </w:t>
            </w:r>
            <w:r w:rsidRPr="00C63B16">
              <w:rPr>
                <w:rFonts w:ascii="Simplified Arabic" w:eastAsia="Times New Roman" w:hAnsi="Simplified Arabic" w:cs="Simplified Arabic"/>
                <w:sz w:val="26"/>
                <w:szCs w:val="26"/>
                <w:rtl/>
                <w:lang w:val="fr-FR"/>
              </w:rPr>
              <w:t>شروط الراهن للعقار المرهون</w:t>
            </w:r>
          </w:p>
          <w:p w14:paraId="504EE7A4"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الأول</w:t>
            </w:r>
            <w:r w:rsidRPr="003459CA">
              <w:rPr>
                <w:rFonts w:ascii="Simplified Arabic" w:eastAsia="Times New Roman" w:hAnsi="Simplified Arabic" w:cs="Simplified Arabic"/>
                <w:sz w:val="26"/>
                <w:szCs w:val="26"/>
                <w:lang w:val="fr-FR"/>
              </w:rPr>
              <w:t xml:space="preserve"> </w:t>
            </w:r>
            <w:r w:rsidRPr="003459CA">
              <w:rPr>
                <w:rFonts w:ascii="Simplified Arabic" w:eastAsia="Times New Roman" w:hAnsi="Simplified Arabic" w:cs="Simplified Arabic" w:hint="cs"/>
                <w:sz w:val="26"/>
                <w:szCs w:val="26"/>
                <w:rtl/>
                <w:lang w:val="fr-FR"/>
              </w:rPr>
              <w:t xml:space="preserve"> : </w:t>
            </w:r>
            <w:r w:rsidRPr="00C63B16">
              <w:rPr>
                <w:rFonts w:ascii="Simplified Arabic" w:eastAsia="Times New Roman" w:hAnsi="Simplified Arabic" w:cs="Simplified Arabic"/>
                <w:sz w:val="26"/>
                <w:szCs w:val="26"/>
                <w:rtl/>
                <w:lang w:val="fr-FR"/>
              </w:rPr>
              <w:t>ملكية الراهن للعقار المرهون والأهلية المطلوبة</w:t>
            </w:r>
          </w:p>
          <w:p w14:paraId="7E195C6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الثاني</w:t>
            </w:r>
            <w:r w:rsidRPr="003459CA">
              <w:rPr>
                <w:rFonts w:ascii="Simplified Arabic" w:eastAsia="Times New Roman" w:hAnsi="Simplified Arabic" w:cs="Simplified Arabic" w:hint="cs"/>
                <w:sz w:val="26"/>
                <w:szCs w:val="26"/>
                <w:rtl/>
                <w:lang w:val="fr-FR"/>
              </w:rPr>
              <w:t xml:space="preserve"> : </w:t>
            </w:r>
            <w:r w:rsidRPr="003459CA">
              <w:rPr>
                <w:rFonts w:ascii="Simplified Arabic" w:eastAsia="Times New Roman" w:hAnsi="Simplified Arabic" w:cs="Simplified Arabic"/>
                <w:sz w:val="26"/>
                <w:szCs w:val="26"/>
                <w:rtl/>
                <w:lang w:val="fr-FR"/>
              </w:rPr>
              <w:t>الراهن نفس المدين أو كفيلاً عينيًا</w:t>
            </w:r>
          </w:p>
        </w:tc>
        <w:tc>
          <w:tcPr>
            <w:tcW w:w="1012" w:type="dxa"/>
            <w:tcBorders>
              <w:top w:val="single" w:sz="6" w:space="0" w:color="auto"/>
              <w:left w:val="single" w:sz="6" w:space="0" w:color="auto"/>
              <w:bottom w:val="single" w:sz="6" w:space="0" w:color="auto"/>
              <w:right w:val="thinThickSmallGap" w:sz="24" w:space="0" w:color="auto"/>
            </w:tcBorders>
          </w:tcPr>
          <w:p w14:paraId="2DFA2BB1"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p>
          <w:p w14:paraId="716AE42A"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32</w:t>
            </w:r>
          </w:p>
          <w:p w14:paraId="2CC0084F"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35</w:t>
            </w:r>
          </w:p>
        </w:tc>
      </w:tr>
      <w:tr w:rsidR="006357DC" w:rsidRPr="003459CA" w14:paraId="06A66F4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BF94E0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الثالث - </w:t>
            </w:r>
            <w:r w:rsidRPr="003459CA">
              <w:rPr>
                <w:rFonts w:ascii="Simplified Arabic" w:eastAsia="Times New Roman" w:hAnsi="Simplified Arabic" w:cs="Simplified Arabic"/>
                <w:sz w:val="26"/>
                <w:szCs w:val="26"/>
                <w:lang w:val="fr-FR"/>
              </w:rPr>
              <w:t xml:space="preserve"> </w:t>
            </w:r>
            <w:r w:rsidRPr="003459CA">
              <w:rPr>
                <w:rFonts w:ascii="Simplified Arabic" w:eastAsia="Times New Roman" w:hAnsi="Simplified Arabic" w:cs="Simplified Arabic"/>
                <w:sz w:val="26"/>
                <w:szCs w:val="26"/>
                <w:rtl/>
                <w:lang w:val="fr-FR"/>
              </w:rPr>
              <w:t xml:space="preserve">محل </w:t>
            </w:r>
            <w:r w:rsidRPr="003459CA">
              <w:rPr>
                <w:rFonts w:ascii="Simplified Arabic" w:eastAsia="Times New Roman" w:hAnsi="Simplified Arabic" w:cs="Simplified Arabic" w:hint="cs"/>
                <w:sz w:val="26"/>
                <w:szCs w:val="26"/>
                <w:rtl/>
                <w:lang w:val="fr-FR"/>
              </w:rPr>
              <w:t>الرهن</w:t>
            </w:r>
          </w:p>
          <w:p w14:paraId="26340E0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الأول</w:t>
            </w: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ماهية العقار</w:t>
            </w:r>
          </w:p>
          <w:p w14:paraId="360B237F"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فرع</w:t>
            </w:r>
            <w:r w:rsidRPr="003459CA">
              <w:rPr>
                <w:rFonts w:ascii="Simplified Arabic" w:eastAsia="Times New Roman" w:hAnsi="Simplified Arabic" w:cs="Simplified Arabic"/>
                <w:sz w:val="26"/>
                <w:szCs w:val="26"/>
                <w:rtl/>
              </w:rPr>
              <w:t xml:space="preserve"> الثاني</w:t>
            </w:r>
            <w:r w:rsidRPr="003459CA">
              <w:rPr>
                <w:rFonts w:ascii="Simplified Arabic" w:eastAsia="Times New Roman" w:hAnsi="Simplified Arabic" w:cs="Simplified Arabic" w:hint="cs"/>
                <w:sz w:val="26"/>
                <w:szCs w:val="26"/>
                <w:rtl/>
              </w:rPr>
              <w:t xml:space="preserve"> : </w:t>
            </w:r>
            <w:r w:rsidRPr="003459CA">
              <w:rPr>
                <w:rFonts w:ascii="Simplified Arabic" w:eastAsia="Times New Roman" w:hAnsi="Simplified Arabic" w:cs="Simplified Arabic"/>
                <w:sz w:val="26"/>
                <w:szCs w:val="26"/>
                <w:rtl/>
              </w:rPr>
              <w:t xml:space="preserve">وجود العقار المرهون  فعلا أو حكمًا </w:t>
            </w:r>
          </w:p>
          <w:p w14:paraId="645D89C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فرع</w:t>
            </w:r>
            <w:r w:rsidRPr="003459CA">
              <w:rPr>
                <w:rFonts w:ascii="Simplified Arabic" w:eastAsia="Times New Roman" w:hAnsi="Simplified Arabic" w:cs="Simplified Arabic"/>
                <w:sz w:val="26"/>
                <w:szCs w:val="26"/>
                <w:rtl/>
              </w:rPr>
              <w:t xml:space="preserve"> الثالث</w:t>
            </w:r>
            <w:r w:rsidRPr="003459CA">
              <w:rPr>
                <w:rFonts w:ascii="Simplified Arabic" w:eastAsia="Times New Roman" w:hAnsi="Simplified Arabic" w:cs="Simplified Arabic"/>
                <w:sz w:val="26"/>
                <w:szCs w:val="26"/>
              </w:rPr>
              <w:t xml:space="preserve">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جواز التعامل في العقار المرهون</w:t>
            </w:r>
          </w:p>
          <w:p w14:paraId="737AFAB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مطلب</w:t>
            </w:r>
            <w:r w:rsidRPr="003459CA">
              <w:rPr>
                <w:rFonts w:ascii="Simplified Arabic" w:eastAsia="Times New Roman" w:hAnsi="Simplified Arabic" w:cs="Simplified Arabic"/>
                <w:sz w:val="26"/>
                <w:szCs w:val="26"/>
                <w:rtl/>
              </w:rPr>
              <w:t xml:space="preserve"> الرابع</w:t>
            </w:r>
            <w:r w:rsidRPr="003459CA">
              <w:rPr>
                <w:rFonts w:ascii="Simplified Arabic" w:eastAsia="Times New Roman" w:hAnsi="Simplified Arabic" w:cs="Simplified Arabic" w:hint="cs"/>
                <w:sz w:val="26"/>
                <w:szCs w:val="26"/>
                <w:rtl/>
              </w:rPr>
              <w:t xml:space="preserve">  : </w:t>
            </w:r>
            <w:r>
              <w:rPr>
                <w:rFonts w:ascii="Simplified Arabic" w:eastAsia="Times New Roman" w:hAnsi="Simplified Arabic" w:cs="Simplified Arabic"/>
                <w:sz w:val="26"/>
                <w:szCs w:val="26"/>
                <w:rtl/>
              </w:rPr>
              <w:t>الدين المضمون بالره</w:t>
            </w:r>
            <w:r>
              <w:rPr>
                <w:rFonts w:ascii="Simplified Arabic" w:eastAsia="Times New Roman" w:hAnsi="Simplified Arabic" w:cs="Simplified Arabic" w:hint="cs"/>
                <w:sz w:val="26"/>
                <w:szCs w:val="26"/>
                <w:rtl/>
              </w:rPr>
              <w:t>ن</w:t>
            </w:r>
          </w:p>
        </w:tc>
        <w:tc>
          <w:tcPr>
            <w:tcW w:w="1012" w:type="dxa"/>
            <w:tcBorders>
              <w:top w:val="single" w:sz="6" w:space="0" w:color="auto"/>
              <w:left w:val="single" w:sz="6" w:space="0" w:color="auto"/>
              <w:bottom w:val="single" w:sz="6" w:space="0" w:color="auto"/>
              <w:right w:val="thinThickSmallGap" w:sz="24" w:space="0" w:color="auto"/>
            </w:tcBorders>
          </w:tcPr>
          <w:p w14:paraId="4FF2435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37</w:t>
            </w:r>
            <w:r w:rsidRPr="003459CA">
              <w:rPr>
                <w:rFonts w:ascii="Simplified Arabic" w:eastAsia="Times New Roman" w:hAnsi="Simplified Arabic" w:cs="Simplified Arabic" w:hint="cs"/>
                <w:sz w:val="26"/>
                <w:szCs w:val="26"/>
                <w:rtl/>
              </w:rPr>
              <w:t xml:space="preserve"> </w:t>
            </w:r>
          </w:p>
          <w:p w14:paraId="1C0EEF7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37</w:t>
            </w:r>
          </w:p>
          <w:p w14:paraId="0405C0A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39</w:t>
            </w:r>
            <w:r w:rsidRPr="003459CA">
              <w:rPr>
                <w:rFonts w:ascii="Simplified Arabic" w:eastAsia="Times New Roman" w:hAnsi="Simplified Arabic" w:cs="Simplified Arabic" w:hint="cs"/>
                <w:sz w:val="26"/>
                <w:szCs w:val="26"/>
                <w:rtl/>
              </w:rPr>
              <w:t xml:space="preserve"> </w:t>
            </w:r>
          </w:p>
          <w:p w14:paraId="6BBBF23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41</w:t>
            </w:r>
          </w:p>
          <w:p w14:paraId="244859B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45</w:t>
            </w:r>
          </w:p>
        </w:tc>
      </w:tr>
      <w:tr w:rsidR="006357DC" w:rsidRPr="003459CA" w14:paraId="6A141CF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A073681" w14:textId="77777777" w:rsidR="006357DC" w:rsidRPr="003459CA" w:rsidRDefault="006357DC" w:rsidP="002148ED">
            <w:pPr>
              <w:bidi/>
              <w:spacing w:after="0" w:line="240" w:lineRule="auto"/>
              <w:rPr>
                <w:rFonts w:ascii="Simplified Arabic" w:eastAsia="Times New Roman" w:hAnsi="Simplified Arabic" w:cs="Simplified Arabic"/>
                <w:b/>
                <w:bCs/>
                <w:sz w:val="26"/>
                <w:szCs w:val="26"/>
                <w:rtl/>
                <w:lang w:val="fr-FR"/>
              </w:rPr>
            </w:pPr>
            <w:r w:rsidRPr="003459CA">
              <w:rPr>
                <w:rFonts w:ascii="Simplified Arabic" w:eastAsia="Times New Roman" w:hAnsi="Simplified Arabic" w:cs="Simplified Arabic"/>
                <w:b/>
                <w:bCs/>
                <w:sz w:val="26"/>
                <w:szCs w:val="26"/>
                <w:rtl/>
                <w:lang w:val="fr-FR"/>
              </w:rPr>
              <w:t>ال</w:t>
            </w:r>
            <w:r>
              <w:rPr>
                <w:rFonts w:ascii="Simplified Arabic" w:eastAsia="Times New Roman" w:hAnsi="Simplified Arabic" w:cs="Simplified Arabic" w:hint="cs"/>
                <w:b/>
                <w:bCs/>
                <w:sz w:val="26"/>
                <w:szCs w:val="26"/>
                <w:rtl/>
                <w:lang w:val="fr-FR"/>
              </w:rPr>
              <w:t>مبحث</w:t>
            </w:r>
            <w:r w:rsidRPr="003459CA">
              <w:rPr>
                <w:rFonts w:ascii="Simplified Arabic" w:eastAsia="Times New Roman" w:hAnsi="Simplified Arabic" w:cs="Simplified Arabic"/>
                <w:b/>
                <w:bCs/>
                <w:sz w:val="26"/>
                <w:szCs w:val="26"/>
                <w:rtl/>
                <w:lang w:val="fr-FR"/>
              </w:rPr>
              <w:t xml:space="preserve"> ال</w:t>
            </w:r>
            <w:r w:rsidRPr="003459CA">
              <w:rPr>
                <w:rFonts w:ascii="Simplified Arabic" w:eastAsia="Times New Roman" w:hAnsi="Simplified Arabic" w:cs="Simplified Arabic" w:hint="cs"/>
                <w:b/>
                <w:bCs/>
                <w:sz w:val="26"/>
                <w:szCs w:val="26"/>
                <w:rtl/>
                <w:lang w:val="fr-FR"/>
              </w:rPr>
              <w:t>ثالث</w:t>
            </w:r>
            <w:r w:rsidRPr="003459CA">
              <w:rPr>
                <w:rFonts w:ascii="Simplified Arabic" w:eastAsia="Times New Roman" w:hAnsi="Simplified Arabic" w:cs="Simplified Arabic"/>
                <w:b/>
                <w:bCs/>
                <w:sz w:val="26"/>
                <w:szCs w:val="26"/>
                <w:rtl/>
                <w:lang w:val="fr-FR"/>
              </w:rPr>
              <w:t xml:space="preserve"> - الآثار القانونية للرهن التأميني</w:t>
            </w:r>
          </w:p>
        </w:tc>
        <w:tc>
          <w:tcPr>
            <w:tcW w:w="1012" w:type="dxa"/>
            <w:tcBorders>
              <w:top w:val="single" w:sz="6" w:space="0" w:color="auto"/>
              <w:left w:val="single" w:sz="6" w:space="0" w:color="auto"/>
              <w:bottom w:val="single" w:sz="6" w:space="0" w:color="auto"/>
              <w:right w:val="thinThickSmallGap" w:sz="24" w:space="0" w:color="auto"/>
            </w:tcBorders>
          </w:tcPr>
          <w:p w14:paraId="41C2D28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50</w:t>
            </w:r>
          </w:p>
        </w:tc>
      </w:tr>
      <w:tr w:rsidR="006357DC" w:rsidRPr="003459CA" w14:paraId="063B787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0A86DAD"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الأول - آثار الرهن التأميني فيما بين المتعاقدين</w:t>
            </w:r>
          </w:p>
        </w:tc>
        <w:tc>
          <w:tcPr>
            <w:tcW w:w="1012" w:type="dxa"/>
            <w:tcBorders>
              <w:top w:val="single" w:sz="6" w:space="0" w:color="auto"/>
              <w:left w:val="single" w:sz="6" w:space="0" w:color="auto"/>
              <w:bottom w:val="single" w:sz="6" w:space="0" w:color="auto"/>
              <w:right w:val="thinThickSmallGap" w:sz="24" w:space="0" w:color="auto"/>
            </w:tcBorders>
          </w:tcPr>
          <w:p w14:paraId="78844AE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51</w:t>
            </w:r>
          </w:p>
        </w:tc>
      </w:tr>
      <w:tr w:rsidR="006357DC" w:rsidRPr="003459CA" w14:paraId="57239E1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2880A6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lang w:val="fr-FR"/>
              </w:rPr>
              <w:t>ا</w:t>
            </w:r>
            <w:r>
              <w:rPr>
                <w:rFonts w:ascii="Simplified Arabic" w:eastAsia="Times New Roman" w:hAnsi="Simplified Arabic" w:cs="Simplified Arabic" w:hint="cs"/>
                <w:sz w:val="26"/>
                <w:szCs w:val="26"/>
                <w:rtl/>
                <w:lang w:val="fr-FR"/>
              </w:rPr>
              <w:t>لفرع</w:t>
            </w:r>
            <w:r w:rsidRPr="003459CA">
              <w:rPr>
                <w:rFonts w:ascii="Simplified Arabic" w:eastAsia="Times New Roman" w:hAnsi="Simplified Arabic" w:cs="Simplified Arabic"/>
                <w:sz w:val="26"/>
                <w:szCs w:val="26"/>
                <w:rtl/>
                <w:lang w:val="fr-FR"/>
              </w:rPr>
              <w:t xml:space="preserve"> الأول : آثار الرهن التأميني بالنسبة للراهن</w:t>
            </w:r>
          </w:p>
        </w:tc>
        <w:tc>
          <w:tcPr>
            <w:tcW w:w="1012" w:type="dxa"/>
            <w:tcBorders>
              <w:top w:val="single" w:sz="6" w:space="0" w:color="auto"/>
              <w:left w:val="single" w:sz="6" w:space="0" w:color="auto"/>
              <w:bottom w:val="single" w:sz="6" w:space="0" w:color="auto"/>
              <w:right w:val="thinThickSmallGap" w:sz="24" w:space="0" w:color="auto"/>
            </w:tcBorders>
          </w:tcPr>
          <w:p w14:paraId="2804B1B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51</w:t>
            </w:r>
          </w:p>
        </w:tc>
      </w:tr>
      <w:tr w:rsidR="006357DC" w:rsidRPr="003459CA" w14:paraId="2EC37E0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C73B610" w14:textId="77777777" w:rsidR="006357DC" w:rsidRPr="003459CA" w:rsidRDefault="006357DC" w:rsidP="002148ED">
            <w:pPr>
              <w:spacing w:after="0" w:line="240" w:lineRule="auto"/>
              <w:jc w:val="right"/>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الثاني : آثار الرهن التأميني بالنسبة للدائن المرتهن</w:t>
            </w:r>
          </w:p>
        </w:tc>
        <w:tc>
          <w:tcPr>
            <w:tcW w:w="1012" w:type="dxa"/>
            <w:tcBorders>
              <w:top w:val="single" w:sz="6" w:space="0" w:color="auto"/>
              <w:left w:val="single" w:sz="6" w:space="0" w:color="auto"/>
              <w:bottom w:val="single" w:sz="6" w:space="0" w:color="auto"/>
              <w:right w:val="thinThickSmallGap" w:sz="24" w:space="0" w:color="auto"/>
            </w:tcBorders>
          </w:tcPr>
          <w:p w14:paraId="4E1C4D04"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57</w:t>
            </w:r>
          </w:p>
        </w:tc>
      </w:tr>
      <w:tr w:rsidR="006357DC" w:rsidRPr="003459CA" w14:paraId="4010311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CC78C45" w14:textId="77777777" w:rsidR="006357DC" w:rsidRPr="00E37ADF"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الم</w:t>
            </w:r>
            <w:r>
              <w:rPr>
                <w:rFonts w:ascii="Simplified Arabic" w:eastAsia="Times New Roman" w:hAnsi="Simplified Arabic" w:cs="Simplified Arabic" w:hint="cs"/>
                <w:sz w:val="26"/>
                <w:szCs w:val="26"/>
                <w:rtl/>
              </w:rPr>
              <w:t>طلب</w:t>
            </w:r>
            <w:r w:rsidRPr="003459CA">
              <w:rPr>
                <w:rFonts w:ascii="Simplified Arabic" w:eastAsia="Times New Roman" w:hAnsi="Simplified Arabic" w:cs="Simplified Arabic"/>
                <w:sz w:val="26"/>
                <w:szCs w:val="26"/>
                <w:rtl/>
              </w:rPr>
              <w:t xml:space="preserve"> الثاني - آثار الرهن التأميني بالنسبة للغير</w:t>
            </w:r>
            <w:r w:rsidRPr="003459CA">
              <w:rPr>
                <w:rFonts w:ascii="Simplified Arabic" w:eastAsia="Times New Roman" w:hAnsi="Simplified Arabic" w:cs="Simplified Arabic"/>
                <w:sz w:val="26"/>
                <w:szCs w:val="26"/>
              </w:rPr>
              <w:tab/>
            </w:r>
          </w:p>
        </w:tc>
        <w:tc>
          <w:tcPr>
            <w:tcW w:w="1012" w:type="dxa"/>
            <w:tcBorders>
              <w:top w:val="single" w:sz="6" w:space="0" w:color="auto"/>
              <w:left w:val="single" w:sz="6" w:space="0" w:color="auto"/>
              <w:bottom w:val="single" w:sz="6" w:space="0" w:color="auto"/>
              <w:right w:val="thinThickSmallGap" w:sz="24" w:space="0" w:color="auto"/>
            </w:tcBorders>
          </w:tcPr>
          <w:p w14:paraId="2E5CFAD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62</w:t>
            </w:r>
          </w:p>
        </w:tc>
      </w:tr>
      <w:tr w:rsidR="006357DC" w:rsidRPr="003459CA" w14:paraId="7E12702C"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8394761"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E37ADF">
              <w:rPr>
                <w:rFonts w:ascii="Simplified Arabic" w:eastAsia="Times New Roman" w:hAnsi="Simplified Arabic" w:cs="Simplified Arabic"/>
                <w:sz w:val="26"/>
                <w:szCs w:val="26"/>
                <w:rtl/>
              </w:rPr>
              <w:t xml:space="preserve">          الفرع الأول :  الحق في التقدم</w:t>
            </w:r>
          </w:p>
        </w:tc>
        <w:tc>
          <w:tcPr>
            <w:tcW w:w="1012" w:type="dxa"/>
            <w:tcBorders>
              <w:top w:val="single" w:sz="6" w:space="0" w:color="auto"/>
              <w:left w:val="single" w:sz="6" w:space="0" w:color="auto"/>
              <w:bottom w:val="single" w:sz="6" w:space="0" w:color="auto"/>
              <w:right w:val="thinThickSmallGap" w:sz="24" w:space="0" w:color="auto"/>
            </w:tcBorders>
          </w:tcPr>
          <w:p w14:paraId="58743B43"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63</w:t>
            </w:r>
          </w:p>
        </w:tc>
      </w:tr>
      <w:tr w:rsidR="006357DC" w:rsidRPr="003459CA" w14:paraId="50CEE9D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4664B5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lastRenderedPageBreak/>
              <w:t xml:space="preserve">          ا</w:t>
            </w:r>
            <w:r>
              <w:rPr>
                <w:rFonts w:ascii="Simplified Arabic" w:eastAsia="Times New Roman" w:hAnsi="Simplified Arabic" w:cs="Simplified Arabic" w:hint="cs"/>
                <w:sz w:val="26"/>
                <w:szCs w:val="26"/>
                <w:rtl/>
                <w:lang w:val="fr-FR"/>
              </w:rPr>
              <w:t>لفرع</w:t>
            </w:r>
            <w:r w:rsidRPr="003459CA">
              <w:rPr>
                <w:rFonts w:ascii="Simplified Arabic" w:eastAsia="Times New Roman" w:hAnsi="Simplified Arabic" w:cs="Simplified Arabic"/>
                <w:sz w:val="26"/>
                <w:szCs w:val="26"/>
                <w:rtl/>
                <w:lang w:val="fr-FR"/>
              </w:rPr>
              <w:t xml:space="preserve"> الثاني : </w:t>
            </w:r>
            <w:r>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الحق في التتبع</w:t>
            </w:r>
          </w:p>
        </w:tc>
        <w:tc>
          <w:tcPr>
            <w:tcW w:w="1012" w:type="dxa"/>
            <w:tcBorders>
              <w:top w:val="single" w:sz="6" w:space="0" w:color="auto"/>
              <w:left w:val="single" w:sz="6" w:space="0" w:color="auto"/>
              <w:bottom w:val="single" w:sz="6" w:space="0" w:color="auto"/>
              <w:right w:val="thinThickSmallGap" w:sz="24" w:space="0" w:color="auto"/>
            </w:tcBorders>
          </w:tcPr>
          <w:p w14:paraId="0364E5C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66</w:t>
            </w:r>
            <w:r w:rsidRPr="003459CA">
              <w:rPr>
                <w:rFonts w:ascii="Simplified Arabic" w:eastAsia="Times New Roman" w:hAnsi="Simplified Arabic" w:cs="Simplified Arabic" w:hint="cs"/>
                <w:sz w:val="26"/>
                <w:szCs w:val="26"/>
                <w:rtl/>
              </w:rPr>
              <w:t xml:space="preserve"> </w:t>
            </w:r>
          </w:p>
        </w:tc>
      </w:tr>
      <w:tr w:rsidR="006357DC" w:rsidRPr="003459CA" w14:paraId="0F34DE5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CEDB6F2" w14:textId="77777777" w:rsidR="006357DC" w:rsidRPr="003459CA" w:rsidRDefault="006357DC" w:rsidP="002148ED">
            <w:pPr>
              <w:bidi/>
              <w:spacing w:after="0" w:line="240" w:lineRule="auto"/>
              <w:jc w:val="center"/>
              <w:rPr>
                <w:rFonts w:ascii="Simplified Arabic" w:eastAsia="Times New Roman" w:hAnsi="Simplified Arabic" w:cs="Simplified Arabic"/>
                <w:b/>
                <w:bCs/>
                <w:sz w:val="30"/>
                <w:szCs w:val="30"/>
                <w:rtl/>
                <w:lang w:val="fr-FR"/>
              </w:rPr>
            </w:pPr>
            <w:r>
              <w:rPr>
                <w:rFonts w:ascii="Simplified Arabic" w:eastAsia="Times New Roman" w:hAnsi="Simplified Arabic" w:cs="Simplified Arabic" w:hint="cs"/>
                <w:b/>
                <w:bCs/>
                <w:sz w:val="30"/>
                <w:szCs w:val="30"/>
                <w:rtl/>
                <w:lang w:val="fr-FR"/>
              </w:rPr>
              <w:t>الفصل الأول</w:t>
            </w:r>
          </w:p>
          <w:p w14:paraId="36903396" w14:textId="77777777" w:rsidR="006357DC" w:rsidRPr="003459CA" w:rsidRDefault="006357DC" w:rsidP="002148ED">
            <w:pPr>
              <w:bidi/>
              <w:spacing w:after="0" w:line="240" w:lineRule="auto"/>
              <w:jc w:val="center"/>
              <w:rPr>
                <w:rFonts w:ascii="Simplified Arabic" w:eastAsia="Times New Roman" w:hAnsi="Simplified Arabic" w:cs="Simplified Arabic"/>
                <w:b/>
                <w:bCs/>
                <w:sz w:val="26"/>
                <w:szCs w:val="26"/>
                <w:rtl/>
                <w:lang w:val="fr-FR"/>
              </w:rPr>
            </w:pPr>
            <w:r w:rsidRPr="003459CA">
              <w:rPr>
                <w:rFonts w:ascii="Simplified Arabic" w:eastAsia="Times New Roman" w:hAnsi="Simplified Arabic" w:cs="Simplified Arabic"/>
                <w:b/>
                <w:bCs/>
                <w:sz w:val="30"/>
                <w:szCs w:val="30"/>
                <w:rtl/>
                <w:lang w:val="fr-FR"/>
              </w:rPr>
              <w:t>انقضاء الرهن الـتأميني</w:t>
            </w:r>
            <w:r>
              <w:rPr>
                <w:rtl/>
              </w:rPr>
              <w:t xml:space="preserve"> </w:t>
            </w:r>
            <w:r w:rsidRPr="00C237A0">
              <w:rPr>
                <w:rFonts w:ascii="Simplified Arabic" w:eastAsia="Times New Roman" w:hAnsi="Simplified Arabic" w:cs="Simplified Arabic"/>
                <w:b/>
                <w:bCs/>
                <w:sz w:val="30"/>
                <w:szCs w:val="30"/>
                <w:rtl/>
                <w:lang w:val="fr-FR"/>
              </w:rPr>
              <w:t>بصفة تبعية</w:t>
            </w:r>
          </w:p>
        </w:tc>
        <w:tc>
          <w:tcPr>
            <w:tcW w:w="1012" w:type="dxa"/>
            <w:tcBorders>
              <w:top w:val="single" w:sz="6" w:space="0" w:color="auto"/>
              <w:left w:val="single" w:sz="6" w:space="0" w:color="auto"/>
              <w:bottom w:val="single" w:sz="6" w:space="0" w:color="auto"/>
              <w:right w:val="thinThickSmallGap" w:sz="24" w:space="0" w:color="auto"/>
            </w:tcBorders>
          </w:tcPr>
          <w:p w14:paraId="5517DAE1"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70</w:t>
            </w:r>
          </w:p>
        </w:tc>
      </w:tr>
      <w:tr w:rsidR="006357DC" w:rsidRPr="003459CA" w14:paraId="1768860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A420844" w14:textId="77777777" w:rsidR="006357DC" w:rsidRPr="00C005C5" w:rsidRDefault="006357DC" w:rsidP="002148ED">
            <w:pPr>
              <w:bidi/>
              <w:spacing w:after="0" w:line="240" w:lineRule="auto"/>
              <w:jc w:val="both"/>
              <w:rPr>
                <w:rFonts w:ascii="Simplified Arabic" w:eastAsia="Times New Roman" w:hAnsi="Simplified Arabic" w:cs="Simplified Arabic"/>
                <w:b/>
                <w:bCs/>
                <w:sz w:val="26"/>
                <w:szCs w:val="26"/>
                <w:rtl/>
              </w:rPr>
            </w:pPr>
            <w:r w:rsidRPr="00C005C5">
              <w:rPr>
                <w:rFonts w:ascii="Simplified Arabic" w:eastAsia="Times New Roman" w:hAnsi="Simplified Arabic" w:cs="Simplified Arabic"/>
                <w:b/>
                <w:bCs/>
                <w:sz w:val="26"/>
                <w:szCs w:val="26"/>
                <w:rtl/>
              </w:rPr>
              <w:t>الم</w:t>
            </w:r>
            <w:r w:rsidRPr="00C005C5">
              <w:rPr>
                <w:rFonts w:ascii="Simplified Arabic" w:eastAsia="Times New Roman" w:hAnsi="Simplified Arabic" w:cs="Simplified Arabic" w:hint="cs"/>
                <w:b/>
                <w:bCs/>
                <w:sz w:val="26"/>
                <w:szCs w:val="26"/>
                <w:rtl/>
              </w:rPr>
              <w:t>بحث</w:t>
            </w:r>
            <w:r w:rsidRPr="00C005C5">
              <w:rPr>
                <w:rFonts w:ascii="Simplified Arabic" w:eastAsia="Times New Roman" w:hAnsi="Simplified Arabic" w:cs="Simplified Arabic"/>
                <w:b/>
                <w:bCs/>
                <w:sz w:val="26"/>
                <w:szCs w:val="26"/>
                <w:rtl/>
              </w:rPr>
              <w:t xml:space="preserve"> الأول</w:t>
            </w:r>
            <w:r w:rsidRPr="00C005C5">
              <w:rPr>
                <w:rFonts w:ascii="Simplified Arabic" w:eastAsia="Times New Roman" w:hAnsi="Simplified Arabic" w:cs="Simplified Arabic" w:hint="cs"/>
                <w:b/>
                <w:bCs/>
                <w:sz w:val="26"/>
                <w:szCs w:val="26"/>
                <w:rtl/>
              </w:rPr>
              <w:t xml:space="preserve"> : </w:t>
            </w:r>
            <w:r w:rsidRPr="00C005C5">
              <w:rPr>
                <w:rFonts w:ascii="Simplified Arabic" w:eastAsia="Times New Roman" w:hAnsi="Simplified Arabic" w:cs="Simplified Arabic"/>
                <w:b/>
                <w:bCs/>
                <w:sz w:val="26"/>
                <w:szCs w:val="26"/>
                <w:rtl/>
              </w:rPr>
              <w:t>تبعية الرهن التأميني للدين المضمون</w:t>
            </w:r>
          </w:p>
        </w:tc>
        <w:tc>
          <w:tcPr>
            <w:tcW w:w="1012" w:type="dxa"/>
            <w:tcBorders>
              <w:top w:val="single" w:sz="6" w:space="0" w:color="auto"/>
              <w:left w:val="single" w:sz="6" w:space="0" w:color="auto"/>
              <w:bottom w:val="single" w:sz="6" w:space="0" w:color="auto"/>
              <w:right w:val="thinThickSmallGap" w:sz="24" w:space="0" w:color="auto"/>
            </w:tcBorders>
          </w:tcPr>
          <w:p w14:paraId="52440B0B"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72</w:t>
            </w:r>
          </w:p>
        </w:tc>
      </w:tr>
      <w:tr w:rsidR="006357DC" w:rsidRPr="003459CA" w14:paraId="3D4EF93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FEA9D00"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5A0D30">
              <w:rPr>
                <w:rFonts w:ascii="Simplified Arabic" w:eastAsia="Times New Roman" w:hAnsi="Simplified Arabic" w:cs="Simplified Arabic"/>
                <w:sz w:val="26"/>
                <w:szCs w:val="26"/>
                <w:rtl/>
              </w:rPr>
              <w:t>المطلب الأول : ماهية تبعية الرهن للدين المضمون</w:t>
            </w:r>
          </w:p>
        </w:tc>
        <w:tc>
          <w:tcPr>
            <w:tcW w:w="1012" w:type="dxa"/>
            <w:tcBorders>
              <w:top w:val="single" w:sz="6" w:space="0" w:color="auto"/>
              <w:left w:val="single" w:sz="6" w:space="0" w:color="auto"/>
              <w:bottom w:val="single" w:sz="6" w:space="0" w:color="auto"/>
              <w:right w:val="thinThickSmallGap" w:sz="24" w:space="0" w:color="auto"/>
            </w:tcBorders>
          </w:tcPr>
          <w:p w14:paraId="0695D668"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72</w:t>
            </w:r>
          </w:p>
        </w:tc>
      </w:tr>
      <w:tr w:rsidR="006357DC" w:rsidRPr="003459CA" w14:paraId="710B59F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9BCB8D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انقضاء الدين بالكامل مع ملحقاته</w:t>
            </w:r>
          </w:p>
        </w:tc>
        <w:tc>
          <w:tcPr>
            <w:tcW w:w="1012" w:type="dxa"/>
            <w:tcBorders>
              <w:top w:val="single" w:sz="6" w:space="0" w:color="auto"/>
              <w:left w:val="single" w:sz="6" w:space="0" w:color="auto"/>
              <w:bottom w:val="single" w:sz="6" w:space="0" w:color="auto"/>
              <w:right w:val="thinThickSmallGap" w:sz="24" w:space="0" w:color="auto"/>
            </w:tcBorders>
          </w:tcPr>
          <w:p w14:paraId="780BA023"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74</w:t>
            </w:r>
          </w:p>
        </w:tc>
      </w:tr>
      <w:tr w:rsidR="006357DC" w:rsidRPr="003459CA" w14:paraId="41DB4A9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B8777A7"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عدم انقضاء الرهن التأميني لوفاة أي من أطرافه</w:t>
            </w:r>
          </w:p>
        </w:tc>
        <w:tc>
          <w:tcPr>
            <w:tcW w:w="1012" w:type="dxa"/>
            <w:tcBorders>
              <w:top w:val="single" w:sz="6" w:space="0" w:color="auto"/>
              <w:left w:val="single" w:sz="6" w:space="0" w:color="auto"/>
              <w:bottom w:val="single" w:sz="6" w:space="0" w:color="auto"/>
              <w:right w:val="thinThickSmallGap" w:sz="24" w:space="0" w:color="auto"/>
            </w:tcBorders>
          </w:tcPr>
          <w:p w14:paraId="7706258B"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76</w:t>
            </w:r>
          </w:p>
        </w:tc>
      </w:tr>
      <w:tr w:rsidR="006357DC" w:rsidRPr="003459CA" w14:paraId="1AD2CD4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4C88D4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الرابع</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عودة الرهن لزوال سبب انقضائه ومحو قيد الرهن</w:t>
            </w:r>
          </w:p>
        </w:tc>
        <w:tc>
          <w:tcPr>
            <w:tcW w:w="1012" w:type="dxa"/>
            <w:tcBorders>
              <w:top w:val="single" w:sz="6" w:space="0" w:color="auto"/>
              <w:left w:val="single" w:sz="6" w:space="0" w:color="auto"/>
              <w:bottom w:val="single" w:sz="6" w:space="0" w:color="auto"/>
              <w:right w:val="thinThickSmallGap" w:sz="24" w:space="0" w:color="auto"/>
            </w:tcBorders>
          </w:tcPr>
          <w:p w14:paraId="6CE1504F"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77</w:t>
            </w:r>
          </w:p>
        </w:tc>
      </w:tr>
      <w:tr w:rsidR="006357DC" w:rsidRPr="003459CA" w14:paraId="4B687AA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419E9E5" w14:textId="77777777" w:rsidR="006357DC" w:rsidRPr="003459CA" w:rsidRDefault="006357DC" w:rsidP="002148ED">
            <w:pPr>
              <w:bidi/>
              <w:spacing w:after="0" w:line="240" w:lineRule="auto"/>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المطلب الخامس</w:t>
            </w:r>
            <w:r w:rsidRPr="003459CA">
              <w:rPr>
                <w:rFonts w:ascii="Simplified Arabic" w:eastAsia="Times New Roman" w:hAnsi="Simplified Arabic" w:cs="Simplified Arabic" w:hint="cs"/>
                <w:sz w:val="26"/>
                <w:szCs w:val="26"/>
                <w:rtl/>
                <w:lang w:val="en-AU" w:bidi="ar-AE"/>
              </w:rPr>
              <w:t xml:space="preserve"> : </w:t>
            </w:r>
            <w:r w:rsidRPr="003459CA">
              <w:rPr>
                <w:rFonts w:ascii="Simplified Arabic" w:eastAsia="Times New Roman" w:hAnsi="Simplified Arabic" w:cs="Simplified Arabic"/>
                <w:sz w:val="26"/>
                <w:szCs w:val="26"/>
                <w:rtl/>
                <w:lang w:val="en-AU" w:bidi="ar-AE"/>
              </w:rPr>
              <w:t>تجديد قيد الرهن</w:t>
            </w:r>
          </w:p>
        </w:tc>
        <w:tc>
          <w:tcPr>
            <w:tcW w:w="1012" w:type="dxa"/>
            <w:tcBorders>
              <w:top w:val="single" w:sz="6" w:space="0" w:color="auto"/>
              <w:left w:val="single" w:sz="6" w:space="0" w:color="auto"/>
              <w:bottom w:val="single" w:sz="6" w:space="0" w:color="auto"/>
              <w:right w:val="thinThickSmallGap" w:sz="24" w:space="0" w:color="auto"/>
            </w:tcBorders>
          </w:tcPr>
          <w:p w14:paraId="112ECC8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79</w:t>
            </w:r>
          </w:p>
        </w:tc>
      </w:tr>
      <w:tr w:rsidR="006357DC" w:rsidRPr="003459CA" w14:paraId="0AB7D2E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2365A4C" w14:textId="77777777" w:rsidR="006357DC" w:rsidRPr="00C005C5" w:rsidRDefault="006357DC" w:rsidP="002148ED">
            <w:pPr>
              <w:spacing w:after="0" w:line="240" w:lineRule="auto"/>
              <w:jc w:val="right"/>
              <w:rPr>
                <w:rFonts w:ascii="Simplified Arabic" w:eastAsia="Times New Roman" w:hAnsi="Simplified Arabic" w:cs="Simplified Arabic"/>
                <w:b/>
                <w:bCs/>
                <w:sz w:val="26"/>
                <w:szCs w:val="26"/>
                <w:rtl/>
              </w:rPr>
            </w:pPr>
            <w:r w:rsidRPr="003459CA">
              <w:rPr>
                <w:rFonts w:ascii="Simplified Arabic" w:eastAsia="Times New Roman" w:hAnsi="Simplified Arabic" w:cs="Simplified Arabic"/>
                <w:sz w:val="26"/>
                <w:szCs w:val="26"/>
                <w:rtl/>
              </w:rPr>
              <w:t xml:space="preserve"> </w:t>
            </w:r>
            <w:r w:rsidRPr="00C005C5">
              <w:rPr>
                <w:rFonts w:ascii="Simplified Arabic" w:eastAsia="Times New Roman" w:hAnsi="Simplified Arabic" w:cs="Simplified Arabic"/>
                <w:b/>
                <w:bCs/>
                <w:sz w:val="26"/>
                <w:szCs w:val="26"/>
                <w:rtl/>
              </w:rPr>
              <w:t>المبحث الثاني</w:t>
            </w:r>
            <w:r w:rsidRPr="00C005C5">
              <w:rPr>
                <w:rFonts w:ascii="Simplified Arabic" w:eastAsia="Times New Roman" w:hAnsi="Simplified Arabic" w:cs="Simplified Arabic" w:hint="cs"/>
                <w:b/>
                <w:bCs/>
                <w:sz w:val="26"/>
                <w:szCs w:val="26"/>
                <w:rtl/>
              </w:rPr>
              <w:t xml:space="preserve"> - </w:t>
            </w:r>
            <w:r w:rsidRPr="00C005C5">
              <w:rPr>
                <w:rFonts w:ascii="Simplified Arabic" w:eastAsia="Times New Roman" w:hAnsi="Simplified Arabic" w:cs="Simplified Arabic"/>
                <w:b/>
                <w:bCs/>
                <w:sz w:val="26"/>
                <w:szCs w:val="26"/>
                <w:rtl/>
              </w:rPr>
              <w:t xml:space="preserve">انقضاء الرهن في كل حالة ينقضي فيها الدين المضمون </w:t>
            </w:r>
          </w:p>
        </w:tc>
        <w:tc>
          <w:tcPr>
            <w:tcW w:w="1012" w:type="dxa"/>
            <w:tcBorders>
              <w:top w:val="single" w:sz="6" w:space="0" w:color="auto"/>
              <w:left w:val="single" w:sz="6" w:space="0" w:color="auto"/>
              <w:bottom w:val="single" w:sz="6" w:space="0" w:color="auto"/>
              <w:right w:val="thinThickSmallGap" w:sz="24" w:space="0" w:color="auto"/>
            </w:tcBorders>
          </w:tcPr>
          <w:p w14:paraId="7A32D23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83</w:t>
            </w:r>
          </w:p>
        </w:tc>
      </w:tr>
      <w:tr w:rsidR="006357DC" w:rsidRPr="003459CA" w14:paraId="65D05D0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9223AE3"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المطلب الأول</w:t>
            </w:r>
            <w:r>
              <w:rPr>
                <w:rFonts w:ascii="Simplified Arabic" w:eastAsia="Times New Roman" w:hAnsi="Simplified Arabic" w:cs="Simplified Arabic" w:hint="cs"/>
                <w:sz w:val="26"/>
                <w:szCs w:val="26"/>
                <w:rtl/>
              </w:rPr>
              <w:t>:</w:t>
            </w:r>
            <w:r w:rsidRPr="00C005C5">
              <w:rPr>
                <w:rFonts w:ascii="Simplified Arabic" w:eastAsia="Times New Roman" w:hAnsi="Simplified Arabic" w:cs="Simplified Arabic"/>
                <w:sz w:val="26"/>
                <w:szCs w:val="26"/>
                <w:rtl/>
              </w:rPr>
              <w:t>انقضاء الدين بالتنفيذالإختياري</w:t>
            </w: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للإلتزام عن طريق الوفاء</w:t>
            </w:r>
          </w:p>
        </w:tc>
        <w:tc>
          <w:tcPr>
            <w:tcW w:w="1012" w:type="dxa"/>
            <w:tcBorders>
              <w:top w:val="single" w:sz="6" w:space="0" w:color="auto"/>
              <w:left w:val="single" w:sz="6" w:space="0" w:color="auto"/>
              <w:bottom w:val="single" w:sz="6" w:space="0" w:color="auto"/>
              <w:right w:val="thinThickSmallGap" w:sz="24" w:space="0" w:color="auto"/>
            </w:tcBorders>
          </w:tcPr>
          <w:p w14:paraId="4139E9EF"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84</w:t>
            </w:r>
          </w:p>
        </w:tc>
      </w:tr>
      <w:tr w:rsidR="006357DC" w:rsidRPr="003459CA" w14:paraId="7DA95E0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58CA76A" w14:textId="77777777" w:rsidR="006357DC" w:rsidRPr="003459CA" w:rsidRDefault="006357DC" w:rsidP="002148ED">
            <w:pPr>
              <w:bidi/>
              <w:spacing w:after="0" w:line="240" w:lineRule="auto"/>
              <w:ind w:firstLine="567"/>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C005C5">
              <w:rPr>
                <w:rFonts w:ascii="Simplified Arabic" w:eastAsia="Times New Roman" w:hAnsi="Simplified Arabic" w:cs="Simplified Arabic"/>
                <w:sz w:val="26"/>
                <w:szCs w:val="26"/>
                <w:rtl/>
              </w:rPr>
              <w:t>انقضاء الرهن التأميني بالوفاء</w:t>
            </w:r>
          </w:p>
        </w:tc>
        <w:tc>
          <w:tcPr>
            <w:tcW w:w="1012" w:type="dxa"/>
            <w:tcBorders>
              <w:top w:val="single" w:sz="6" w:space="0" w:color="auto"/>
              <w:left w:val="single" w:sz="6" w:space="0" w:color="auto"/>
              <w:bottom w:val="single" w:sz="6" w:space="0" w:color="auto"/>
              <w:right w:val="thinThickSmallGap" w:sz="24" w:space="0" w:color="auto"/>
            </w:tcBorders>
          </w:tcPr>
          <w:p w14:paraId="7FFF3BE3"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84</w:t>
            </w:r>
          </w:p>
        </w:tc>
      </w:tr>
      <w:tr w:rsidR="006357DC" w:rsidRPr="003459CA" w14:paraId="316172F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5887E51" w14:textId="77777777" w:rsidR="006357DC" w:rsidRPr="001B7B7A" w:rsidRDefault="006357DC" w:rsidP="002148ED">
            <w:pPr>
              <w:bidi/>
              <w:spacing w:after="0" w:line="240" w:lineRule="auto"/>
              <w:ind w:firstLine="567"/>
              <w:jc w:val="both"/>
              <w:rPr>
                <w:rFonts w:ascii="Simplified Arabic" w:eastAsia="Times New Roman" w:hAnsi="Simplified Arabic" w:cs="Simplified Arabic"/>
                <w:sz w:val="24"/>
                <w:szCs w:val="24"/>
                <w:rtl/>
              </w:rPr>
            </w:pPr>
            <w:r>
              <w:rPr>
                <w:rFonts w:ascii="Simplified Arabic" w:eastAsia="Times New Roman" w:hAnsi="Simplified Arabic" w:cs="Simplified Arabic" w:hint="cs"/>
                <w:sz w:val="26"/>
                <w:szCs w:val="26"/>
                <w:rtl/>
              </w:rPr>
              <w:t xml:space="preserve">    </w:t>
            </w:r>
            <w:r w:rsidRPr="001B7B7A">
              <w:rPr>
                <w:rFonts w:ascii="Simplified Arabic" w:eastAsia="Times New Roman" w:hAnsi="Simplified Arabic" w:cs="Simplified Arabic" w:hint="cs"/>
                <w:sz w:val="24"/>
                <w:szCs w:val="24"/>
                <w:rtl/>
              </w:rPr>
              <w:t>الفرع الثاني</w:t>
            </w:r>
            <w:r w:rsidRPr="001B7B7A">
              <w:rPr>
                <w:rFonts w:ascii="Simplified Arabic" w:eastAsia="Times New Roman" w:hAnsi="Simplified Arabic" w:cs="Simplified Arabic"/>
                <w:sz w:val="24"/>
                <w:szCs w:val="24"/>
                <w:rtl/>
              </w:rPr>
              <w:t xml:space="preserve"> :</w:t>
            </w: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انقضاء الرهن للوفاء بالدين المضمون بالرهن قبل حلول</w:t>
            </w:r>
            <w:r>
              <w:rPr>
                <w:rFonts w:ascii="Simplified Arabic" w:eastAsia="Times New Roman" w:hAnsi="Simplified Arabic" w:cs="Simplified Arabic" w:hint="cs"/>
                <w:sz w:val="24"/>
                <w:szCs w:val="24"/>
                <w:rtl/>
              </w:rPr>
              <w:t xml:space="preserve"> </w:t>
            </w:r>
          </w:p>
          <w:p w14:paraId="4062D28D" w14:textId="77777777" w:rsidR="006357DC" w:rsidRPr="003459CA" w:rsidRDefault="006357DC" w:rsidP="002148ED">
            <w:pPr>
              <w:bidi/>
              <w:spacing w:after="0" w:line="240" w:lineRule="auto"/>
              <w:ind w:firstLine="567"/>
              <w:jc w:val="both"/>
              <w:rPr>
                <w:rFonts w:ascii="Simplified Arabic" w:eastAsia="Times New Roman" w:hAnsi="Simplified Arabic" w:cs="Simplified Arabic"/>
                <w:sz w:val="26"/>
                <w:szCs w:val="26"/>
                <w:rtl/>
              </w:rPr>
            </w:pP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 xml:space="preserve"> </w:t>
            </w: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أجله</w:t>
            </w:r>
          </w:p>
        </w:tc>
        <w:tc>
          <w:tcPr>
            <w:tcW w:w="1012" w:type="dxa"/>
            <w:tcBorders>
              <w:top w:val="single" w:sz="6" w:space="0" w:color="auto"/>
              <w:left w:val="single" w:sz="6" w:space="0" w:color="auto"/>
              <w:bottom w:val="single" w:sz="6" w:space="0" w:color="auto"/>
              <w:right w:val="thinThickSmallGap" w:sz="24" w:space="0" w:color="auto"/>
            </w:tcBorders>
          </w:tcPr>
          <w:p w14:paraId="2A343EFF"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90</w:t>
            </w:r>
          </w:p>
        </w:tc>
      </w:tr>
      <w:tr w:rsidR="006357DC" w:rsidRPr="003459CA" w14:paraId="2DE5FBE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284154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4D54C1">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D54C1">
              <w:rPr>
                <w:rFonts w:ascii="Simplified Arabic" w:eastAsia="Times New Roman" w:hAnsi="Simplified Arabic" w:cs="Simplified Arabic"/>
                <w:sz w:val="26"/>
                <w:szCs w:val="26"/>
                <w:rtl/>
              </w:rPr>
              <w:t>أسباب انقضاء الرهن التأميني  بما يعادل الوفاء</w:t>
            </w:r>
          </w:p>
        </w:tc>
        <w:tc>
          <w:tcPr>
            <w:tcW w:w="1012" w:type="dxa"/>
            <w:tcBorders>
              <w:top w:val="single" w:sz="6" w:space="0" w:color="auto"/>
              <w:left w:val="single" w:sz="6" w:space="0" w:color="auto"/>
              <w:bottom w:val="single" w:sz="6" w:space="0" w:color="auto"/>
              <w:right w:val="thinThickSmallGap" w:sz="24" w:space="0" w:color="auto"/>
            </w:tcBorders>
          </w:tcPr>
          <w:p w14:paraId="2031B47E"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99</w:t>
            </w:r>
          </w:p>
        </w:tc>
      </w:tr>
      <w:tr w:rsidR="006357DC" w:rsidRPr="003459CA" w14:paraId="08050D7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AFC9065" w14:textId="77777777" w:rsidR="006357DC" w:rsidRPr="003459CA" w:rsidRDefault="006357DC" w:rsidP="002148ED">
            <w:pPr>
              <w:bidi/>
              <w:spacing w:after="0" w:line="240" w:lineRule="auto"/>
              <w:ind w:firstLine="567"/>
              <w:jc w:val="both"/>
              <w:rPr>
                <w:rFonts w:ascii="Simplified Arabic" w:eastAsia="Times New Roman" w:hAnsi="Simplified Arabic" w:cs="Simplified Arabic"/>
                <w:sz w:val="26"/>
                <w:szCs w:val="26"/>
                <w:rtl/>
                <w:lang w:val="fr-FR"/>
              </w:rPr>
            </w:pPr>
            <w:r>
              <w:rPr>
                <w:rFonts w:ascii="Simplified Arabic" w:eastAsia="Times New Roman" w:hAnsi="Simplified Arabic" w:cs="Simplified Arabic" w:hint="cs"/>
                <w:sz w:val="26"/>
                <w:szCs w:val="26"/>
                <w:rtl/>
              </w:rPr>
              <w:t xml:space="preserve">   </w:t>
            </w:r>
            <w:r w:rsidRPr="004D54C1">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4D54C1">
              <w:rPr>
                <w:rFonts w:ascii="Simplified Arabic" w:eastAsia="Times New Roman" w:hAnsi="Simplified Arabic" w:cs="Simplified Arabic"/>
                <w:sz w:val="26"/>
                <w:szCs w:val="26"/>
                <w:rtl/>
              </w:rPr>
              <w:t>انقضاء الر</w:t>
            </w:r>
            <w:r>
              <w:rPr>
                <w:rFonts w:ascii="Simplified Arabic" w:eastAsia="Times New Roman" w:hAnsi="Simplified Arabic" w:cs="Simplified Arabic"/>
                <w:sz w:val="26"/>
                <w:szCs w:val="26"/>
                <w:rtl/>
              </w:rPr>
              <w:t>هن التأميني بالوفاء الاعتياضي "الوفاء بمقابل</w:t>
            </w:r>
            <w:r w:rsidRPr="004D54C1">
              <w:rPr>
                <w:rFonts w:ascii="Simplified Arabic" w:eastAsia="Times New Roman" w:hAnsi="Simplified Arabic" w:cs="Simplified Arabic"/>
                <w:sz w:val="26"/>
                <w:szCs w:val="26"/>
                <w:rtl/>
              </w:rPr>
              <w:t>"</w:t>
            </w:r>
          </w:p>
        </w:tc>
        <w:tc>
          <w:tcPr>
            <w:tcW w:w="1012" w:type="dxa"/>
            <w:tcBorders>
              <w:top w:val="single" w:sz="6" w:space="0" w:color="auto"/>
              <w:left w:val="single" w:sz="6" w:space="0" w:color="auto"/>
              <w:bottom w:val="single" w:sz="6" w:space="0" w:color="auto"/>
              <w:right w:val="thinThickSmallGap" w:sz="24" w:space="0" w:color="auto"/>
            </w:tcBorders>
          </w:tcPr>
          <w:p w14:paraId="763C7297"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99</w:t>
            </w:r>
          </w:p>
        </w:tc>
      </w:tr>
      <w:tr w:rsidR="006357DC" w:rsidRPr="003459CA" w14:paraId="18179B4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4E20C0F" w14:textId="77777777" w:rsidR="006357DC" w:rsidRPr="003459CA" w:rsidRDefault="006357DC" w:rsidP="002148ED">
            <w:pPr>
              <w:bidi/>
              <w:spacing w:after="0" w:line="240" w:lineRule="auto"/>
              <w:ind w:firstLine="567"/>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0F3036">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0F3036">
              <w:rPr>
                <w:rFonts w:ascii="Simplified Arabic" w:eastAsia="Times New Roman" w:hAnsi="Simplified Arabic" w:cs="Simplified Arabic"/>
                <w:sz w:val="26"/>
                <w:szCs w:val="26"/>
                <w:rtl/>
              </w:rPr>
              <w:t>انقضاء الرهن التأميني تبعياً بانقضاء الدين بالمقاصة</w:t>
            </w:r>
          </w:p>
        </w:tc>
        <w:tc>
          <w:tcPr>
            <w:tcW w:w="1012" w:type="dxa"/>
            <w:tcBorders>
              <w:top w:val="single" w:sz="6" w:space="0" w:color="auto"/>
              <w:left w:val="single" w:sz="6" w:space="0" w:color="auto"/>
              <w:bottom w:val="single" w:sz="6" w:space="0" w:color="auto"/>
              <w:right w:val="thinThickSmallGap" w:sz="24" w:space="0" w:color="auto"/>
            </w:tcBorders>
          </w:tcPr>
          <w:p w14:paraId="2EF56B06"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102</w:t>
            </w:r>
          </w:p>
        </w:tc>
      </w:tr>
      <w:tr w:rsidR="006357DC" w:rsidRPr="003459CA" w14:paraId="6B16948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CAC9AF4" w14:textId="77777777" w:rsidR="006357DC" w:rsidRPr="003459CA" w:rsidRDefault="006357DC" w:rsidP="002148ED">
            <w:pPr>
              <w:bidi/>
              <w:spacing w:after="0" w:line="240" w:lineRule="auto"/>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0F3036">
              <w:rPr>
                <w:rFonts w:ascii="Simplified Arabic" w:eastAsia="Times New Roman" w:hAnsi="Simplified Arabic" w:cs="Simplified Arabic"/>
                <w:sz w:val="26"/>
                <w:szCs w:val="26"/>
                <w:rtl/>
              </w:rPr>
              <w:t>الفرع الثالث</w:t>
            </w:r>
            <w:r>
              <w:rPr>
                <w:rFonts w:ascii="Simplified Arabic" w:eastAsia="Times New Roman" w:hAnsi="Simplified Arabic" w:cs="Simplified Arabic" w:hint="cs"/>
                <w:sz w:val="26"/>
                <w:szCs w:val="26"/>
                <w:rtl/>
              </w:rPr>
              <w:t xml:space="preserve"> : </w:t>
            </w:r>
            <w:r w:rsidRPr="000F3036">
              <w:rPr>
                <w:rFonts w:ascii="Simplified Arabic" w:eastAsia="Times New Roman" w:hAnsi="Simplified Arabic" w:cs="Simplified Arabic"/>
                <w:sz w:val="26"/>
                <w:szCs w:val="26"/>
                <w:rtl/>
              </w:rPr>
              <w:t>انقضاء الرهن باتحاد الذمة</w:t>
            </w:r>
          </w:p>
        </w:tc>
        <w:tc>
          <w:tcPr>
            <w:tcW w:w="1012" w:type="dxa"/>
            <w:tcBorders>
              <w:top w:val="single" w:sz="6" w:space="0" w:color="auto"/>
              <w:left w:val="single" w:sz="6" w:space="0" w:color="auto"/>
              <w:bottom w:val="single" w:sz="6" w:space="0" w:color="auto"/>
              <w:right w:val="thinThickSmallGap" w:sz="24" w:space="0" w:color="auto"/>
            </w:tcBorders>
          </w:tcPr>
          <w:p w14:paraId="64C16A44"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110</w:t>
            </w:r>
          </w:p>
        </w:tc>
      </w:tr>
      <w:tr w:rsidR="006357DC" w:rsidRPr="003459CA" w14:paraId="46E3F7E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C4E1454"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7C1024">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7C1024">
              <w:rPr>
                <w:rFonts w:ascii="Simplified Arabic" w:eastAsia="Times New Roman" w:hAnsi="Simplified Arabic" w:cs="Simplified Arabic"/>
                <w:sz w:val="26"/>
                <w:szCs w:val="26"/>
                <w:rtl/>
              </w:rPr>
              <w:t>أسباب انقضاء الرهن الـتأميني بدون الوفاء</w:t>
            </w:r>
          </w:p>
        </w:tc>
        <w:tc>
          <w:tcPr>
            <w:tcW w:w="1012" w:type="dxa"/>
            <w:tcBorders>
              <w:top w:val="single" w:sz="6" w:space="0" w:color="auto"/>
              <w:left w:val="single" w:sz="6" w:space="0" w:color="auto"/>
              <w:bottom w:val="single" w:sz="6" w:space="0" w:color="auto"/>
              <w:right w:val="thinThickSmallGap" w:sz="24" w:space="0" w:color="auto"/>
            </w:tcBorders>
          </w:tcPr>
          <w:p w14:paraId="3A6EC763"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112</w:t>
            </w:r>
          </w:p>
        </w:tc>
      </w:tr>
      <w:tr w:rsidR="006357DC" w:rsidRPr="003459CA" w14:paraId="33BBD9B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2A9678D"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7C1024">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7C1024">
              <w:rPr>
                <w:rFonts w:ascii="Simplified Arabic" w:eastAsia="Times New Roman" w:hAnsi="Simplified Arabic" w:cs="Simplified Arabic"/>
                <w:sz w:val="26"/>
                <w:szCs w:val="26"/>
                <w:rtl/>
              </w:rPr>
              <w:t>الإبراء من الدين كسبب لانقضاء الرهن</w:t>
            </w:r>
          </w:p>
        </w:tc>
        <w:tc>
          <w:tcPr>
            <w:tcW w:w="1012" w:type="dxa"/>
            <w:tcBorders>
              <w:top w:val="single" w:sz="6" w:space="0" w:color="auto"/>
              <w:left w:val="single" w:sz="6" w:space="0" w:color="auto"/>
              <w:bottom w:val="single" w:sz="6" w:space="0" w:color="auto"/>
              <w:right w:val="thinThickSmallGap" w:sz="24" w:space="0" w:color="auto"/>
            </w:tcBorders>
          </w:tcPr>
          <w:p w14:paraId="27F66CE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113</w:t>
            </w:r>
          </w:p>
        </w:tc>
      </w:tr>
      <w:tr w:rsidR="006357DC" w:rsidRPr="003459CA" w14:paraId="08BAA05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89C237D"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522047">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522047">
              <w:rPr>
                <w:rFonts w:ascii="Simplified Arabic" w:eastAsia="Times New Roman" w:hAnsi="Simplified Arabic" w:cs="Simplified Arabic"/>
                <w:sz w:val="26"/>
                <w:szCs w:val="26"/>
                <w:rtl/>
              </w:rPr>
              <w:t>انقضاء الرهن لاستحالة التنفيذ</w:t>
            </w:r>
          </w:p>
        </w:tc>
        <w:tc>
          <w:tcPr>
            <w:tcW w:w="1012" w:type="dxa"/>
            <w:tcBorders>
              <w:top w:val="single" w:sz="6" w:space="0" w:color="auto"/>
              <w:left w:val="single" w:sz="6" w:space="0" w:color="auto"/>
              <w:bottom w:val="single" w:sz="6" w:space="0" w:color="auto"/>
              <w:right w:val="thinThickSmallGap" w:sz="24" w:space="0" w:color="auto"/>
            </w:tcBorders>
          </w:tcPr>
          <w:p w14:paraId="290A3C5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116</w:t>
            </w:r>
          </w:p>
        </w:tc>
      </w:tr>
      <w:tr w:rsidR="006357DC" w:rsidRPr="003459CA" w14:paraId="7137F4B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AA5FA4D" w14:textId="77777777" w:rsidR="006357DC" w:rsidRPr="00082F53" w:rsidRDefault="006357DC" w:rsidP="002148ED">
            <w:pPr>
              <w:bidi/>
              <w:spacing w:after="0" w:line="240" w:lineRule="auto"/>
              <w:rPr>
                <w:rFonts w:ascii="Simplified Arabic" w:eastAsia="Times New Roman" w:hAnsi="Simplified Arabic" w:cs="Simplified Arabic"/>
                <w:sz w:val="24"/>
                <w:szCs w:val="24"/>
                <w:rtl/>
                <w:lang w:val="fr-FR"/>
              </w:rPr>
            </w:pPr>
            <w:r w:rsidRPr="003459CA">
              <w:rPr>
                <w:rFonts w:ascii="Simplified Arabic" w:eastAsia="Times New Roman" w:hAnsi="Simplified Arabic" w:cs="Simplified Arabic"/>
                <w:sz w:val="26"/>
                <w:szCs w:val="26"/>
                <w:rtl/>
                <w:lang w:val="fr-FR"/>
              </w:rPr>
              <w:t xml:space="preserve">     </w:t>
            </w:r>
            <w:r w:rsidRPr="00082F53">
              <w:rPr>
                <w:rFonts w:ascii="Simplified Arabic" w:eastAsia="Times New Roman" w:hAnsi="Simplified Arabic" w:cs="Simplified Arabic"/>
                <w:sz w:val="24"/>
                <w:szCs w:val="24"/>
                <w:rtl/>
                <w:lang w:val="fr-FR"/>
              </w:rPr>
              <w:t xml:space="preserve"> </w:t>
            </w:r>
            <w:r w:rsidRPr="00082F53">
              <w:rPr>
                <w:rFonts w:ascii="Simplified Arabic" w:eastAsia="Times New Roman" w:hAnsi="Simplified Arabic" w:cs="Simplified Arabic" w:hint="cs"/>
                <w:sz w:val="24"/>
                <w:szCs w:val="24"/>
                <w:rtl/>
                <w:lang w:val="fr-FR"/>
              </w:rPr>
              <w:t xml:space="preserve"> </w:t>
            </w:r>
            <w:r>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 xml:space="preserve"> الف</w:t>
            </w:r>
            <w:r>
              <w:rPr>
                <w:rFonts w:ascii="Simplified Arabic" w:eastAsia="Times New Roman" w:hAnsi="Simplified Arabic" w:cs="Simplified Arabic" w:hint="cs"/>
                <w:sz w:val="24"/>
                <w:szCs w:val="24"/>
                <w:rtl/>
                <w:lang w:val="fr-FR"/>
              </w:rPr>
              <w:t>ـ</w:t>
            </w:r>
            <w:r w:rsidRPr="00082F53">
              <w:rPr>
                <w:rFonts w:ascii="Simplified Arabic" w:eastAsia="Times New Roman" w:hAnsi="Simplified Arabic" w:cs="Simplified Arabic"/>
                <w:sz w:val="24"/>
                <w:szCs w:val="24"/>
                <w:rtl/>
                <w:lang w:val="fr-FR"/>
              </w:rPr>
              <w:t>رع الث</w:t>
            </w:r>
            <w:r>
              <w:rPr>
                <w:rFonts w:ascii="Simplified Arabic" w:eastAsia="Times New Roman" w:hAnsi="Simplified Arabic" w:cs="Simplified Arabic" w:hint="cs"/>
                <w:sz w:val="24"/>
                <w:szCs w:val="24"/>
                <w:rtl/>
                <w:lang w:val="fr-FR"/>
              </w:rPr>
              <w:t>ـ</w:t>
            </w:r>
            <w:r w:rsidRPr="00082F53">
              <w:rPr>
                <w:rFonts w:ascii="Simplified Arabic" w:eastAsia="Times New Roman" w:hAnsi="Simplified Arabic" w:cs="Simplified Arabic"/>
                <w:sz w:val="24"/>
                <w:szCs w:val="24"/>
                <w:rtl/>
                <w:lang w:val="fr-FR"/>
              </w:rPr>
              <w:t>الث</w:t>
            </w:r>
            <w:r>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مرو</w:t>
            </w:r>
            <w:r w:rsidRPr="00082F53">
              <w:rPr>
                <w:rFonts w:ascii="Simplified Arabic" w:eastAsia="Times New Roman" w:hAnsi="Simplified Arabic" w:cs="Simplified Arabic" w:hint="cs"/>
                <w:sz w:val="24"/>
                <w:szCs w:val="24"/>
                <w:rtl/>
                <w:lang w:val="fr-FR"/>
              </w:rPr>
              <w:t xml:space="preserve">ر </w:t>
            </w:r>
            <w:r w:rsidRPr="00082F53">
              <w:rPr>
                <w:rFonts w:ascii="Simplified Arabic" w:eastAsia="Times New Roman" w:hAnsi="Simplified Arabic" w:cs="Simplified Arabic"/>
                <w:sz w:val="24"/>
                <w:szCs w:val="24"/>
                <w:rtl/>
                <w:lang w:val="fr-FR"/>
              </w:rPr>
              <w:t>الزمان المانع من سماع الدعوى</w:t>
            </w:r>
            <w:r w:rsidRPr="00082F53">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 xml:space="preserve">كسبب لانقضاء </w:t>
            </w:r>
            <w:r w:rsidRPr="00082F53">
              <w:rPr>
                <w:rFonts w:ascii="Simplified Arabic" w:eastAsia="Times New Roman" w:hAnsi="Simplified Arabic" w:cs="Simplified Arabic" w:hint="cs"/>
                <w:sz w:val="24"/>
                <w:szCs w:val="24"/>
                <w:rtl/>
                <w:lang w:val="fr-FR"/>
              </w:rPr>
              <w:t>ا</w:t>
            </w:r>
            <w:r w:rsidRPr="00082F53">
              <w:rPr>
                <w:rFonts w:ascii="Simplified Arabic" w:eastAsia="Times New Roman" w:hAnsi="Simplified Arabic" w:cs="Simplified Arabic"/>
                <w:sz w:val="24"/>
                <w:szCs w:val="24"/>
                <w:rtl/>
                <w:lang w:val="fr-FR"/>
              </w:rPr>
              <w:t>لرهن</w:t>
            </w:r>
          </w:p>
        </w:tc>
        <w:tc>
          <w:tcPr>
            <w:tcW w:w="1012" w:type="dxa"/>
            <w:tcBorders>
              <w:top w:val="single" w:sz="6" w:space="0" w:color="auto"/>
              <w:left w:val="single" w:sz="6" w:space="0" w:color="auto"/>
              <w:bottom w:val="single" w:sz="6" w:space="0" w:color="auto"/>
              <w:right w:val="thinThickSmallGap" w:sz="24" w:space="0" w:color="auto"/>
            </w:tcBorders>
          </w:tcPr>
          <w:p w14:paraId="4C804DDD"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122</w:t>
            </w:r>
          </w:p>
        </w:tc>
      </w:tr>
      <w:tr w:rsidR="006357DC" w:rsidRPr="003459CA" w14:paraId="1C5ABAB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AB42418" w14:textId="77777777" w:rsidR="006357DC" w:rsidRPr="003459CA" w:rsidRDefault="006357DC" w:rsidP="002148ED">
            <w:pPr>
              <w:bidi/>
              <w:spacing w:after="0" w:line="240" w:lineRule="auto"/>
              <w:ind w:left="-360"/>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hint="cs"/>
                <w:sz w:val="26"/>
                <w:szCs w:val="26"/>
                <w:rtl/>
              </w:rPr>
              <w:t xml:space="preserve"> </w:t>
            </w:r>
            <w:r w:rsidRPr="00127077">
              <w:rPr>
                <w:rFonts w:ascii="Simplified Arabic" w:eastAsia="Times New Roman" w:hAnsi="Simplified Arabic" w:cs="Simplified Arabic"/>
                <w:sz w:val="26"/>
                <w:szCs w:val="26"/>
                <w:rtl/>
              </w:rPr>
              <w:t>المطلب الرابع</w:t>
            </w:r>
            <w:r>
              <w:rPr>
                <w:rFonts w:ascii="Simplified Arabic" w:eastAsia="Times New Roman" w:hAnsi="Simplified Arabic" w:cs="Simplified Arabic" w:hint="cs"/>
                <w:sz w:val="26"/>
                <w:szCs w:val="26"/>
                <w:rtl/>
              </w:rPr>
              <w:t xml:space="preserve"> : </w:t>
            </w:r>
            <w:r w:rsidRPr="00127077">
              <w:rPr>
                <w:rFonts w:ascii="Simplified Arabic" w:eastAsia="Times New Roman" w:hAnsi="Simplified Arabic" w:cs="Simplified Arabic"/>
                <w:sz w:val="26"/>
                <w:szCs w:val="26"/>
                <w:rtl/>
              </w:rPr>
              <w:t>أسباب انقضاء الرهن الـتأميني عن طريق انتقال الإلتزام</w:t>
            </w:r>
          </w:p>
        </w:tc>
        <w:tc>
          <w:tcPr>
            <w:tcW w:w="1012" w:type="dxa"/>
            <w:tcBorders>
              <w:top w:val="single" w:sz="6" w:space="0" w:color="auto"/>
              <w:left w:val="single" w:sz="6" w:space="0" w:color="auto"/>
              <w:bottom w:val="single" w:sz="6" w:space="0" w:color="auto"/>
              <w:right w:val="thinThickSmallGap" w:sz="24" w:space="0" w:color="auto"/>
            </w:tcBorders>
          </w:tcPr>
          <w:p w14:paraId="3BD959E7"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133</w:t>
            </w:r>
          </w:p>
        </w:tc>
      </w:tr>
      <w:tr w:rsidR="006357DC" w:rsidRPr="003459CA" w14:paraId="14F94A87" w14:textId="77777777" w:rsidTr="002148ED">
        <w:trPr>
          <w:trHeight w:val="551"/>
        </w:trPr>
        <w:tc>
          <w:tcPr>
            <w:tcW w:w="6751" w:type="dxa"/>
            <w:tcBorders>
              <w:top w:val="single" w:sz="6" w:space="0" w:color="auto"/>
              <w:left w:val="thickThinSmallGap" w:sz="24" w:space="0" w:color="auto"/>
              <w:bottom w:val="single" w:sz="6" w:space="0" w:color="auto"/>
              <w:right w:val="single" w:sz="6" w:space="0" w:color="auto"/>
            </w:tcBorders>
          </w:tcPr>
          <w:p w14:paraId="5FB93F50" w14:textId="77777777" w:rsidR="006357DC" w:rsidRPr="003459CA" w:rsidRDefault="006357DC" w:rsidP="002148ED">
            <w:pPr>
              <w:bidi/>
              <w:spacing w:after="0" w:line="240" w:lineRule="auto"/>
              <w:ind w:left="-360"/>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494E56">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 xml:space="preserve">حوالة الدين كسبب لانقضاء </w:t>
            </w:r>
            <w:r>
              <w:rPr>
                <w:rFonts w:ascii="Simplified Arabic" w:eastAsia="Times New Roman" w:hAnsi="Simplified Arabic" w:cs="Simplified Arabic" w:hint="cs"/>
                <w:sz w:val="26"/>
                <w:szCs w:val="26"/>
                <w:rtl/>
              </w:rPr>
              <w:t xml:space="preserve"> الرهن</w:t>
            </w:r>
            <w:r w:rsidRPr="003459CA">
              <w:rPr>
                <w:rFonts w:ascii="Simplified Arabic" w:eastAsia="Times New Roman" w:hAnsi="Simplified Arabic" w:cs="Simplified Arabic" w:hint="cs"/>
                <w:sz w:val="26"/>
                <w:szCs w:val="26"/>
                <w:rtl/>
              </w:rPr>
              <w:t xml:space="preserve">  </w:t>
            </w:r>
          </w:p>
        </w:tc>
        <w:tc>
          <w:tcPr>
            <w:tcW w:w="1012" w:type="dxa"/>
            <w:tcBorders>
              <w:top w:val="single" w:sz="6" w:space="0" w:color="auto"/>
              <w:left w:val="single" w:sz="6" w:space="0" w:color="auto"/>
              <w:bottom w:val="single" w:sz="6" w:space="0" w:color="auto"/>
              <w:right w:val="thinThickSmallGap" w:sz="24" w:space="0" w:color="auto"/>
            </w:tcBorders>
          </w:tcPr>
          <w:p w14:paraId="60BEDB8B"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133</w:t>
            </w:r>
          </w:p>
        </w:tc>
      </w:tr>
      <w:tr w:rsidR="006357DC" w:rsidRPr="003459CA" w14:paraId="514FC1F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AACC727" w14:textId="77777777" w:rsidR="006357DC" w:rsidRPr="003459CA" w:rsidRDefault="006357DC" w:rsidP="002148ED">
            <w:pPr>
              <w:bidi/>
              <w:spacing w:after="0" w:line="240" w:lineRule="auto"/>
              <w:rPr>
                <w:rFonts w:ascii="Simplified Arabic" w:eastAsia="Times New Roman" w:hAnsi="Simplified Arabic" w:cs="Simplified Arabic"/>
                <w:b/>
                <w:bCs/>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تجديد الدين كسبب لانقضاء الرهن</w:t>
            </w:r>
          </w:p>
        </w:tc>
        <w:tc>
          <w:tcPr>
            <w:tcW w:w="1012" w:type="dxa"/>
            <w:tcBorders>
              <w:top w:val="single" w:sz="6" w:space="0" w:color="auto"/>
              <w:left w:val="single" w:sz="6" w:space="0" w:color="auto"/>
              <w:bottom w:val="single" w:sz="6" w:space="0" w:color="auto"/>
              <w:right w:val="thinThickSmallGap" w:sz="24" w:space="0" w:color="auto"/>
            </w:tcBorders>
          </w:tcPr>
          <w:p w14:paraId="11610028"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137</w:t>
            </w:r>
          </w:p>
        </w:tc>
      </w:tr>
      <w:tr w:rsidR="006357DC" w:rsidRPr="003459CA" w14:paraId="081C61AC"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BD10CD9" w14:textId="77777777" w:rsidR="006357DC" w:rsidRPr="00494E56" w:rsidRDefault="006357DC" w:rsidP="002148ED">
            <w:pPr>
              <w:spacing w:before="120" w:after="120" w:line="240" w:lineRule="auto"/>
              <w:jc w:val="center"/>
              <w:rPr>
                <w:rFonts w:ascii="Simplified Arabic" w:eastAsia="Times New Roman" w:hAnsi="Simplified Arabic" w:cs="Simplified Arabic"/>
                <w:b/>
                <w:bCs/>
                <w:sz w:val="30"/>
                <w:szCs w:val="30"/>
                <w:rtl/>
                <w:lang w:val="fr-FR"/>
              </w:rPr>
            </w:pPr>
            <w:r w:rsidRPr="00494E56">
              <w:rPr>
                <w:rFonts w:ascii="Simplified Arabic" w:eastAsia="Times New Roman" w:hAnsi="Simplified Arabic" w:cs="Simplified Arabic"/>
                <w:b/>
                <w:bCs/>
                <w:sz w:val="30"/>
                <w:szCs w:val="30"/>
                <w:rtl/>
                <w:lang w:val="fr-FR"/>
              </w:rPr>
              <w:t>الفصل الثاني</w:t>
            </w:r>
          </w:p>
          <w:p w14:paraId="1DE6E528" w14:textId="77777777" w:rsidR="006357DC" w:rsidRPr="003459CA" w:rsidRDefault="006357DC" w:rsidP="002148ED">
            <w:pPr>
              <w:bidi/>
              <w:spacing w:before="120" w:after="120" w:line="240" w:lineRule="auto"/>
              <w:jc w:val="center"/>
              <w:rPr>
                <w:rFonts w:ascii="Simplified Arabic" w:eastAsia="Times New Roman" w:hAnsi="Simplified Arabic" w:cs="Simplified Arabic"/>
                <w:sz w:val="26"/>
                <w:szCs w:val="26"/>
                <w:rtl/>
                <w:lang w:val="fr-FR"/>
              </w:rPr>
            </w:pPr>
            <w:r w:rsidRPr="00494E56">
              <w:rPr>
                <w:rFonts w:ascii="Simplified Arabic" w:eastAsia="Times New Roman" w:hAnsi="Simplified Arabic" w:cs="Simplified Arabic"/>
                <w:b/>
                <w:bCs/>
                <w:sz w:val="30"/>
                <w:szCs w:val="30"/>
                <w:rtl/>
                <w:lang w:val="fr-FR"/>
              </w:rPr>
              <w:t>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3DF200FB"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143</w:t>
            </w:r>
          </w:p>
        </w:tc>
      </w:tr>
      <w:tr w:rsidR="006357DC" w:rsidRPr="003459CA" w14:paraId="71B4F4E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3DBB7B6" w14:textId="77777777" w:rsidR="006357DC" w:rsidRPr="00494E56" w:rsidRDefault="006357DC" w:rsidP="002148ED">
            <w:pPr>
              <w:bidi/>
              <w:spacing w:before="120" w:after="120" w:line="240" w:lineRule="auto"/>
              <w:jc w:val="both"/>
              <w:rPr>
                <w:rFonts w:ascii="Simplified Arabic" w:eastAsia="Times New Roman" w:hAnsi="Simplified Arabic" w:cs="Simplified Arabic"/>
                <w:b/>
                <w:bCs/>
                <w:sz w:val="26"/>
                <w:szCs w:val="26"/>
                <w:rtl/>
                <w:lang w:val="fr-FR"/>
              </w:rPr>
            </w:pPr>
            <w:r w:rsidRPr="00494E56">
              <w:rPr>
                <w:rFonts w:ascii="Simplified Arabic" w:eastAsia="Times New Roman" w:hAnsi="Simplified Arabic" w:cs="Simplified Arabic"/>
                <w:b/>
                <w:bCs/>
                <w:sz w:val="26"/>
                <w:szCs w:val="26"/>
                <w:rtl/>
                <w:lang w:val="fr-FR"/>
              </w:rPr>
              <w:t>المبحث الأول</w:t>
            </w:r>
            <w:r w:rsidRPr="00494E56">
              <w:rPr>
                <w:rFonts w:ascii="Simplified Arabic" w:eastAsia="Times New Roman" w:hAnsi="Simplified Arabic" w:cs="Simplified Arabic" w:hint="cs"/>
                <w:b/>
                <w:bCs/>
                <w:sz w:val="26"/>
                <w:szCs w:val="26"/>
                <w:rtl/>
                <w:lang w:val="fr-FR"/>
              </w:rPr>
              <w:t xml:space="preserve"> : </w:t>
            </w:r>
            <w:r w:rsidRPr="00494E56">
              <w:rPr>
                <w:rFonts w:ascii="Simplified Arabic" w:eastAsia="Times New Roman" w:hAnsi="Simplified Arabic" w:cs="Simplified Arabic"/>
                <w:b/>
                <w:bCs/>
                <w:sz w:val="26"/>
                <w:szCs w:val="26"/>
                <w:rtl/>
                <w:lang w:val="fr-FR"/>
              </w:rPr>
              <w:t>ماهية 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5F238BBF"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144</w:t>
            </w:r>
          </w:p>
        </w:tc>
      </w:tr>
      <w:tr w:rsidR="006357DC" w:rsidRPr="003459CA" w14:paraId="2F595B8E"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625206F" w14:textId="77777777" w:rsidR="006357DC" w:rsidRPr="00494E56" w:rsidRDefault="006357DC" w:rsidP="002148ED">
            <w:pPr>
              <w:bidi/>
              <w:spacing w:before="120" w:after="120" w:line="240" w:lineRule="auto"/>
              <w:jc w:val="both"/>
              <w:rPr>
                <w:rFonts w:ascii="Simplified Arabic" w:eastAsia="Times New Roman" w:hAnsi="Simplified Arabic" w:cs="Simplified Arabic"/>
                <w:b/>
                <w:bCs/>
                <w:sz w:val="26"/>
                <w:szCs w:val="26"/>
                <w:rtl/>
                <w:lang w:val="fr-FR"/>
              </w:rPr>
            </w:pPr>
            <w:r w:rsidRPr="00494E56">
              <w:rPr>
                <w:rFonts w:ascii="Simplified Arabic" w:eastAsia="Times New Roman" w:hAnsi="Simplified Arabic" w:cs="Simplified Arabic"/>
                <w:b/>
                <w:bCs/>
                <w:sz w:val="26"/>
                <w:szCs w:val="26"/>
                <w:rtl/>
                <w:lang w:val="fr-FR"/>
              </w:rPr>
              <w:lastRenderedPageBreak/>
              <w:t>المبحث الثاني</w:t>
            </w:r>
            <w:r w:rsidRPr="00494E56">
              <w:rPr>
                <w:rFonts w:ascii="Simplified Arabic" w:eastAsia="Times New Roman" w:hAnsi="Simplified Arabic" w:cs="Simplified Arabic" w:hint="cs"/>
                <w:b/>
                <w:bCs/>
                <w:sz w:val="26"/>
                <w:szCs w:val="26"/>
                <w:rtl/>
                <w:lang w:val="fr-FR"/>
              </w:rPr>
              <w:t xml:space="preserve"> : </w:t>
            </w:r>
            <w:r w:rsidRPr="00494E56">
              <w:rPr>
                <w:rFonts w:ascii="Simplified Arabic" w:eastAsia="Times New Roman" w:hAnsi="Simplified Arabic" w:cs="Simplified Arabic"/>
                <w:b/>
                <w:bCs/>
                <w:sz w:val="26"/>
                <w:szCs w:val="26"/>
                <w:rtl/>
                <w:lang w:val="fr-FR"/>
              </w:rPr>
              <w:t>أسباب 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195A1160"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145</w:t>
            </w:r>
          </w:p>
        </w:tc>
      </w:tr>
      <w:tr w:rsidR="006357DC" w:rsidRPr="003459CA" w14:paraId="3AA7D21B" w14:textId="77777777" w:rsidTr="002148ED">
        <w:trPr>
          <w:trHeight w:val="839"/>
        </w:trPr>
        <w:tc>
          <w:tcPr>
            <w:tcW w:w="6751" w:type="dxa"/>
            <w:tcBorders>
              <w:top w:val="single" w:sz="6" w:space="0" w:color="auto"/>
              <w:left w:val="thickThinSmallGap" w:sz="24" w:space="0" w:color="auto"/>
              <w:bottom w:val="single" w:sz="6" w:space="0" w:color="auto"/>
              <w:right w:val="single" w:sz="6" w:space="0" w:color="auto"/>
            </w:tcBorders>
          </w:tcPr>
          <w:p w14:paraId="121A1B99" w14:textId="77777777" w:rsidR="006357DC" w:rsidRPr="00494E56" w:rsidRDefault="006357DC" w:rsidP="002148ED">
            <w:pPr>
              <w:bidi/>
              <w:spacing w:after="0" w:line="240" w:lineRule="auto"/>
              <w:ind w:left="-360"/>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lang w:val="fr-FR"/>
              </w:rPr>
              <w:t xml:space="preserve">      </w:t>
            </w:r>
            <w:r>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hint="cs"/>
                <w:sz w:val="26"/>
                <w:szCs w:val="26"/>
                <w:rtl/>
                <w:lang w:val="fr-FR"/>
              </w:rPr>
              <w:t xml:space="preserve">   </w:t>
            </w:r>
            <w:r w:rsidRPr="00494E56">
              <w:rPr>
                <w:rFonts w:ascii="Simplified Arabic" w:eastAsia="Times New Roman" w:hAnsi="Simplified Arabic" w:cs="Simplified Arabic" w:hint="cs"/>
                <w:sz w:val="26"/>
                <w:szCs w:val="26"/>
                <w:rtl/>
              </w:rPr>
              <w:t xml:space="preserve">المطلب الأول : </w:t>
            </w:r>
            <w:r w:rsidRPr="00494E56">
              <w:rPr>
                <w:rFonts w:ascii="Simplified Arabic" w:eastAsia="Times New Roman" w:hAnsi="Simplified Arabic" w:cs="Simplified Arabic"/>
                <w:sz w:val="26"/>
                <w:szCs w:val="26"/>
                <w:rtl/>
              </w:rPr>
              <w:t>بيع العقار المرهون وفقاً للإجراءات المتبعة أمام</w:t>
            </w:r>
          </w:p>
          <w:p w14:paraId="0EA17B3A" w14:textId="77777777" w:rsidR="006357DC" w:rsidRPr="003459CA" w:rsidRDefault="006357DC" w:rsidP="002148ED">
            <w:pPr>
              <w:bidi/>
              <w:spacing w:after="0" w:line="240" w:lineRule="auto"/>
              <w:ind w:left="-360"/>
              <w:jc w:val="both"/>
              <w:rPr>
                <w:rFonts w:ascii="Simplified Arabic" w:eastAsia="Times New Roman" w:hAnsi="Simplified Arabic" w:cs="Simplified Arabic"/>
                <w:sz w:val="26"/>
                <w:szCs w:val="26"/>
                <w:rtl/>
                <w:lang w:val="fr-FR"/>
              </w:rPr>
            </w:pPr>
            <w:r w:rsidRPr="00494E56">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w:t>
            </w:r>
            <w:r w:rsidRPr="00494E56">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المحاكم  في البيوع الجبرية .</w:t>
            </w:r>
            <w:r w:rsidRPr="003459CA">
              <w:rPr>
                <w:rFonts w:ascii="Simplified Arabic" w:eastAsia="Times New Roman" w:hAnsi="Simplified Arabic" w:cs="Simplified Arabic"/>
                <w:sz w:val="26"/>
                <w:szCs w:val="26"/>
                <w:rtl/>
                <w:lang w:val="fr-FR"/>
              </w:rPr>
              <w:t xml:space="preserve"> </w:t>
            </w:r>
          </w:p>
        </w:tc>
        <w:tc>
          <w:tcPr>
            <w:tcW w:w="1012" w:type="dxa"/>
            <w:tcBorders>
              <w:top w:val="single" w:sz="6" w:space="0" w:color="auto"/>
              <w:left w:val="single" w:sz="6" w:space="0" w:color="auto"/>
              <w:bottom w:val="single" w:sz="6" w:space="0" w:color="auto"/>
              <w:right w:val="thinThickSmallGap" w:sz="24" w:space="0" w:color="auto"/>
            </w:tcBorders>
          </w:tcPr>
          <w:p w14:paraId="64010DDA"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146</w:t>
            </w:r>
          </w:p>
          <w:p w14:paraId="177D3D5D"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p>
        </w:tc>
      </w:tr>
      <w:tr w:rsidR="006357DC" w:rsidRPr="003459CA" w14:paraId="7D62A52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3342DEC" w14:textId="77777777" w:rsidR="006357DC" w:rsidRDefault="006357D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انقضاء الرهن لعدم استيفاء المرتهن لحقه من العقار</w:t>
            </w:r>
          </w:p>
          <w:p w14:paraId="13D2A7F4"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المرهون</w:t>
            </w:r>
          </w:p>
        </w:tc>
        <w:tc>
          <w:tcPr>
            <w:tcW w:w="1012" w:type="dxa"/>
            <w:tcBorders>
              <w:top w:val="single" w:sz="6" w:space="0" w:color="auto"/>
              <w:left w:val="single" w:sz="6" w:space="0" w:color="auto"/>
              <w:bottom w:val="single" w:sz="6" w:space="0" w:color="auto"/>
              <w:right w:val="thinThickSmallGap" w:sz="24" w:space="0" w:color="auto"/>
            </w:tcBorders>
          </w:tcPr>
          <w:p w14:paraId="138200BA"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156</w:t>
            </w:r>
          </w:p>
        </w:tc>
      </w:tr>
      <w:tr w:rsidR="006357DC" w:rsidRPr="003459CA" w14:paraId="2D034BE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C67A5BC"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7345AA">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7345AA">
              <w:rPr>
                <w:rFonts w:ascii="Simplified Arabic" w:eastAsia="Times New Roman" w:hAnsi="Simplified Arabic" w:cs="Simplified Arabic"/>
                <w:sz w:val="26"/>
                <w:szCs w:val="26"/>
                <w:rtl/>
              </w:rPr>
              <w:t>تطهير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3F4DF6D6" w14:textId="77777777" w:rsidR="006357DC"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159</w:t>
            </w:r>
          </w:p>
        </w:tc>
      </w:tr>
      <w:tr w:rsidR="006357DC" w:rsidRPr="003459CA" w14:paraId="753868C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283C6CA" w14:textId="77777777" w:rsidR="006357DC"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rPr>
              <w:t xml:space="preserve"> </w:t>
            </w:r>
            <w:r>
              <w:rPr>
                <w:rFonts w:ascii="Simplified Arabic" w:eastAsia="Times New Roman" w:hAnsi="Simplified Arabic" w:cs="Simplified Arabic"/>
                <w:sz w:val="26"/>
                <w:szCs w:val="26"/>
                <w:rtl/>
              </w:rPr>
              <w:t>المطلب</w:t>
            </w:r>
            <w:r w:rsidRPr="00494E56">
              <w:rPr>
                <w:rFonts w:ascii="Simplified Arabic" w:eastAsia="Times New Roman" w:hAnsi="Simplified Arabic" w:cs="Simplified Arabic"/>
                <w:sz w:val="26"/>
                <w:szCs w:val="26"/>
                <w:rtl/>
              </w:rPr>
              <w:t xml:space="preserve"> الرابع</w:t>
            </w: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انقضاء الرهن بنزول الدائن المرتهن عن حق الرهن</w:t>
            </w:r>
          </w:p>
          <w:p w14:paraId="446E2679"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التأميني</w:t>
            </w:r>
          </w:p>
        </w:tc>
        <w:tc>
          <w:tcPr>
            <w:tcW w:w="1012" w:type="dxa"/>
            <w:tcBorders>
              <w:top w:val="single" w:sz="6" w:space="0" w:color="auto"/>
              <w:left w:val="single" w:sz="6" w:space="0" w:color="auto"/>
              <w:bottom w:val="single" w:sz="6" w:space="0" w:color="auto"/>
              <w:right w:val="thinThickSmallGap" w:sz="24" w:space="0" w:color="auto"/>
            </w:tcBorders>
          </w:tcPr>
          <w:p w14:paraId="50C6C9C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179</w:t>
            </w:r>
          </w:p>
        </w:tc>
      </w:tr>
      <w:tr w:rsidR="006357DC" w:rsidRPr="003459CA" w14:paraId="4D53021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0189A0D"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الخامس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2F2CC2">
              <w:rPr>
                <w:rFonts w:ascii="Simplified Arabic" w:eastAsia="Times New Roman" w:hAnsi="Simplified Arabic" w:cs="Simplified Arabic"/>
                <w:sz w:val="26"/>
                <w:szCs w:val="26"/>
                <w:rtl/>
              </w:rPr>
              <w:t>انقضاء الرهن بإتحاد الذمة في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1ADA8CA9"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182</w:t>
            </w:r>
          </w:p>
        </w:tc>
      </w:tr>
      <w:tr w:rsidR="006357DC" w:rsidRPr="003459CA" w14:paraId="6B25868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48500C2"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السادس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3D2EFA">
              <w:rPr>
                <w:rFonts w:ascii="Simplified Arabic" w:eastAsia="Times New Roman" w:hAnsi="Simplified Arabic" w:cs="Simplified Arabic"/>
                <w:sz w:val="26"/>
                <w:szCs w:val="26"/>
                <w:rtl/>
              </w:rPr>
              <w:t>انقضاء الرهن لهلاك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7D7ACD5E"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185</w:t>
            </w:r>
          </w:p>
        </w:tc>
      </w:tr>
      <w:tr w:rsidR="006357DC" w:rsidRPr="003459CA" w14:paraId="225B01B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9A610B5" w14:textId="77777777" w:rsidR="006357DC"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rPr>
              <w:t>المطلب ال</w:t>
            </w:r>
            <w:r w:rsidRPr="003459CA">
              <w:rPr>
                <w:rFonts w:ascii="Simplified Arabic" w:eastAsia="Times New Roman" w:hAnsi="Simplified Arabic" w:cs="Simplified Arabic" w:hint="cs"/>
                <w:sz w:val="26"/>
                <w:szCs w:val="26"/>
                <w:rtl/>
              </w:rPr>
              <w:t>سابع</w:t>
            </w: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0B2680">
              <w:rPr>
                <w:rFonts w:ascii="Simplified Arabic" w:eastAsia="Times New Roman" w:hAnsi="Simplified Arabic" w:cs="Simplified Arabic"/>
                <w:sz w:val="26"/>
                <w:szCs w:val="26"/>
                <w:rtl/>
              </w:rPr>
              <w:t>انقضاء الرهن بسبب بطلان أو انهاء سند ملكية مقرر</w:t>
            </w:r>
          </w:p>
          <w:p w14:paraId="12DB9D63"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 xml:space="preserve"> الرهن</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والفرق بينه وبين الإقالة</w:t>
            </w:r>
          </w:p>
        </w:tc>
        <w:tc>
          <w:tcPr>
            <w:tcW w:w="1012" w:type="dxa"/>
            <w:tcBorders>
              <w:top w:val="single" w:sz="6" w:space="0" w:color="auto"/>
              <w:left w:val="single" w:sz="6" w:space="0" w:color="auto"/>
              <w:bottom w:val="single" w:sz="6" w:space="0" w:color="auto"/>
              <w:right w:val="thinThickSmallGap" w:sz="24" w:space="0" w:color="auto"/>
            </w:tcBorders>
          </w:tcPr>
          <w:p w14:paraId="0E31AA3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190</w:t>
            </w:r>
          </w:p>
        </w:tc>
      </w:tr>
      <w:tr w:rsidR="006357DC" w:rsidRPr="003459CA" w14:paraId="5F0D1651"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85E13F0" w14:textId="77777777" w:rsidR="006357DC" w:rsidRDefault="006357D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w:t>
            </w:r>
            <w:r w:rsidRPr="003459CA">
              <w:rPr>
                <w:rFonts w:ascii="Simplified Arabic" w:eastAsia="Times New Roman" w:hAnsi="Simplified Arabic" w:cs="Simplified Arabic" w:hint="cs"/>
                <w:sz w:val="26"/>
                <w:szCs w:val="26"/>
                <w:rtl/>
              </w:rPr>
              <w:t>ثامن:</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عدم</w:t>
            </w:r>
            <w:r>
              <w:rPr>
                <w:rFonts w:ascii="Simplified Arabic" w:eastAsia="Times New Roman" w:hAnsi="Simplified Arabic" w:cs="Simplified Arabic"/>
                <w:sz w:val="26"/>
                <w:szCs w:val="26"/>
                <w:rtl/>
              </w:rPr>
              <w:t xml:space="preserve"> سماع دعوى الرهن لمرور الزمان</w:t>
            </w:r>
          </w:p>
          <w:p w14:paraId="6C2FB015" w14:textId="77777777" w:rsidR="006357DC" w:rsidRPr="003459CA" w:rsidRDefault="006357D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تقادم حق</w:t>
            </w:r>
            <w:r>
              <w:rPr>
                <w:rFonts w:ascii="Simplified Arabic" w:eastAsia="Times New Roman" w:hAnsi="Simplified Arabic" w:cs="Simplified Arabic" w:hint="cs"/>
                <w:sz w:val="26"/>
                <w:szCs w:val="26"/>
                <w:rtl/>
              </w:rPr>
              <w:t xml:space="preserve"> ا</w:t>
            </w:r>
            <w:r>
              <w:rPr>
                <w:rFonts w:ascii="Simplified Arabic" w:eastAsia="Times New Roman" w:hAnsi="Simplified Arabic" w:cs="Simplified Arabic"/>
                <w:sz w:val="26"/>
                <w:szCs w:val="26"/>
                <w:rtl/>
              </w:rPr>
              <w:t>لرهن</w:t>
            </w:r>
            <w:r w:rsidRPr="000B2680">
              <w:rPr>
                <w:rFonts w:ascii="Simplified Arabic" w:eastAsia="Times New Roman" w:hAnsi="Simplified Arabic" w:cs="Simplified Arabic"/>
                <w:sz w:val="26"/>
                <w:szCs w:val="26"/>
                <w:rtl/>
              </w:rPr>
              <w:t>"</w:t>
            </w:r>
          </w:p>
        </w:tc>
        <w:tc>
          <w:tcPr>
            <w:tcW w:w="1012" w:type="dxa"/>
            <w:tcBorders>
              <w:top w:val="single" w:sz="6" w:space="0" w:color="auto"/>
              <w:left w:val="single" w:sz="6" w:space="0" w:color="auto"/>
              <w:bottom w:val="single" w:sz="6" w:space="0" w:color="auto"/>
              <w:right w:val="thinThickSmallGap" w:sz="24" w:space="0" w:color="auto"/>
            </w:tcBorders>
          </w:tcPr>
          <w:p w14:paraId="7C8303EC"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205</w:t>
            </w:r>
          </w:p>
          <w:p w14:paraId="493A5CF6"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p>
        </w:tc>
      </w:tr>
      <w:tr w:rsidR="006357DC" w:rsidRPr="003459CA" w14:paraId="3E5970C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41E102C" w14:textId="77777777" w:rsidR="006357DC" w:rsidRPr="00422F5D" w:rsidRDefault="006357DC" w:rsidP="002148ED">
            <w:pPr>
              <w:bidi/>
              <w:spacing w:after="0" w:line="240" w:lineRule="auto"/>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22F5D">
              <w:rPr>
                <w:rFonts w:ascii="Simplified Arabic" w:eastAsia="Times New Roman" w:hAnsi="Simplified Arabic" w:cs="Simplified Arabic"/>
                <w:sz w:val="26"/>
                <w:szCs w:val="26"/>
                <w:rtl/>
              </w:rPr>
              <w:t>خاتمة  البحث</w:t>
            </w:r>
          </w:p>
        </w:tc>
        <w:tc>
          <w:tcPr>
            <w:tcW w:w="1012" w:type="dxa"/>
            <w:tcBorders>
              <w:top w:val="single" w:sz="6" w:space="0" w:color="auto"/>
              <w:left w:val="single" w:sz="6" w:space="0" w:color="auto"/>
              <w:bottom w:val="single" w:sz="6" w:space="0" w:color="auto"/>
              <w:right w:val="thinThickSmallGap" w:sz="24" w:space="0" w:color="auto"/>
            </w:tcBorders>
          </w:tcPr>
          <w:p w14:paraId="605F2D4B"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20</w:t>
            </w:r>
          </w:p>
        </w:tc>
      </w:tr>
      <w:tr w:rsidR="006357DC" w:rsidRPr="003459CA" w14:paraId="754E6DD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847AC81"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التوصيات </w:t>
            </w:r>
            <w:r>
              <w:rPr>
                <w:rFonts w:ascii="Simplified Arabic" w:eastAsia="Times New Roman" w:hAnsi="Simplified Arabic" w:cs="Simplified Arabic" w:hint="cs"/>
                <w:sz w:val="26"/>
                <w:szCs w:val="26"/>
                <w:rtl/>
              </w:rPr>
              <w:t>والنتائج</w:t>
            </w:r>
          </w:p>
        </w:tc>
        <w:tc>
          <w:tcPr>
            <w:tcW w:w="1012" w:type="dxa"/>
            <w:tcBorders>
              <w:top w:val="single" w:sz="6" w:space="0" w:color="auto"/>
              <w:left w:val="single" w:sz="6" w:space="0" w:color="auto"/>
              <w:bottom w:val="single" w:sz="6" w:space="0" w:color="auto"/>
              <w:right w:val="thinThickSmallGap" w:sz="24" w:space="0" w:color="auto"/>
            </w:tcBorders>
          </w:tcPr>
          <w:p w14:paraId="40B1852A"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26</w:t>
            </w:r>
          </w:p>
        </w:tc>
      </w:tr>
      <w:tr w:rsidR="006357DC" w:rsidRPr="003459CA" w14:paraId="04C99BC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CD93CFA"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قائمة المراجع</w:t>
            </w:r>
          </w:p>
        </w:tc>
        <w:tc>
          <w:tcPr>
            <w:tcW w:w="1012" w:type="dxa"/>
            <w:tcBorders>
              <w:top w:val="single" w:sz="6" w:space="0" w:color="auto"/>
              <w:left w:val="single" w:sz="6" w:space="0" w:color="auto"/>
              <w:bottom w:val="single" w:sz="6" w:space="0" w:color="auto"/>
              <w:right w:val="thinThickSmallGap" w:sz="24" w:space="0" w:color="auto"/>
            </w:tcBorders>
          </w:tcPr>
          <w:p w14:paraId="15053B88"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28</w:t>
            </w:r>
          </w:p>
        </w:tc>
      </w:tr>
      <w:tr w:rsidR="006357DC" w:rsidRPr="003459CA" w14:paraId="44834FB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56A3D85"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الفهرس</w:t>
            </w:r>
          </w:p>
        </w:tc>
        <w:tc>
          <w:tcPr>
            <w:tcW w:w="1012" w:type="dxa"/>
            <w:tcBorders>
              <w:top w:val="single" w:sz="6" w:space="0" w:color="auto"/>
              <w:left w:val="single" w:sz="6" w:space="0" w:color="auto"/>
              <w:bottom w:val="single" w:sz="6" w:space="0" w:color="auto"/>
              <w:right w:val="thinThickSmallGap" w:sz="24" w:space="0" w:color="auto"/>
            </w:tcBorders>
          </w:tcPr>
          <w:p w14:paraId="17C6E672" w14:textId="77777777" w:rsidR="006357DC" w:rsidRPr="003459CA" w:rsidRDefault="006357D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36</w:t>
            </w:r>
          </w:p>
        </w:tc>
      </w:tr>
    </w:tbl>
    <w:p w14:paraId="7C9546E9" w14:textId="77777777" w:rsidR="006357DC" w:rsidRDefault="006357DC" w:rsidP="006357DC">
      <w:pPr>
        <w:bidi/>
      </w:pPr>
    </w:p>
    <w:p w14:paraId="11919F17" w14:textId="77777777" w:rsidR="006357DC" w:rsidRPr="003459CA" w:rsidRDefault="006357DC" w:rsidP="006357DC">
      <w:pPr>
        <w:bidi/>
        <w:spacing w:after="0" w:line="240" w:lineRule="auto"/>
        <w:jc w:val="both"/>
        <w:rPr>
          <w:rFonts w:ascii="Simplified Arabic" w:eastAsia="Times New Roman" w:hAnsi="Simplified Arabic" w:cs="Simplified Arabic"/>
          <w:b/>
          <w:bCs/>
          <w:sz w:val="26"/>
          <w:szCs w:val="26"/>
          <w:rtl/>
        </w:rPr>
      </w:pPr>
    </w:p>
    <w:p w14:paraId="45D7BE5D" w14:textId="77777777" w:rsidR="006357DC" w:rsidRPr="003459CA" w:rsidRDefault="006357DC" w:rsidP="006357DC">
      <w:pPr>
        <w:bidi/>
        <w:spacing w:after="0" w:line="240" w:lineRule="auto"/>
        <w:ind w:firstLine="567"/>
        <w:jc w:val="both"/>
        <w:rPr>
          <w:rFonts w:ascii="Simplified Arabic" w:eastAsia="Times New Roman" w:hAnsi="Simplified Arabic" w:cs="Simplified Arabic"/>
          <w:sz w:val="26"/>
          <w:szCs w:val="26"/>
          <w:rtl/>
          <w:lang w:val="en-AU"/>
        </w:rPr>
      </w:pPr>
    </w:p>
    <w:p w14:paraId="306A58A0" w14:textId="77777777" w:rsidR="00BC076D" w:rsidRDefault="00BC076D" w:rsidP="00BC076D">
      <w:pPr>
        <w:bidi/>
        <w:rPr>
          <w:rtl/>
          <w:lang w:bidi="ar-AE"/>
        </w:rPr>
      </w:pPr>
    </w:p>
    <w:p w14:paraId="18AF2977" w14:textId="77777777" w:rsidR="00BC076D" w:rsidRDefault="00BC076D">
      <w:pPr>
        <w:rPr>
          <w:rtl/>
          <w:lang w:bidi="ar-AE"/>
        </w:rPr>
      </w:pPr>
    </w:p>
    <w:p w14:paraId="46AEB0C3" w14:textId="77777777" w:rsidR="00BC076D" w:rsidRDefault="00BC076D">
      <w:pPr>
        <w:rPr>
          <w:rtl/>
          <w:lang w:bidi="ar-AE"/>
        </w:rPr>
      </w:pPr>
    </w:p>
    <w:p w14:paraId="00A66E34" w14:textId="77777777" w:rsidR="00BC076D" w:rsidRDefault="00BC076D">
      <w:pPr>
        <w:rPr>
          <w:rtl/>
          <w:lang w:bidi="ar-AE"/>
        </w:rPr>
      </w:pPr>
    </w:p>
    <w:p w14:paraId="70E3A327" w14:textId="77777777" w:rsidR="00BC076D" w:rsidRDefault="00BC076D">
      <w:pPr>
        <w:rPr>
          <w:rtl/>
          <w:lang w:bidi="ar-AE"/>
        </w:rPr>
      </w:pPr>
    </w:p>
    <w:p w14:paraId="0C9B2B36" w14:textId="77777777" w:rsidR="00BC076D" w:rsidRDefault="00BC076D">
      <w:pPr>
        <w:rPr>
          <w:rtl/>
          <w:lang w:bidi="ar-AE"/>
        </w:rPr>
      </w:pPr>
    </w:p>
    <w:p w14:paraId="11CF86D5" w14:textId="77777777" w:rsidR="00BC076D" w:rsidRDefault="00BC076D">
      <w:pPr>
        <w:rPr>
          <w:rtl/>
          <w:lang w:bidi="ar-AE"/>
        </w:rPr>
      </w:pPr>
    </w:p>
    <w:p w14:paraId="47D486CA" w14:textId="77777777" w:rsidR="00BC076D" w:rsidRDefault="00BC076D">
      <w:pPr>
        <w:rPr>
          <w:rFonts w:hint="cs"/>
          <w:lang w:bidi="ar-AE"/>
        </w:rPr>
      </w:pPr>
    </w:p>
    <w:sectPr w:rsidR="00BC076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8C95" w14:textId="77777777" w:rsidR="009E48AF" w:rsidRDefault="009E48AF" w:rsidP="00BC076D">
      <w:pPr>
        <w:spacing w:after="0" w:line="240" w:lineRule="auto"/>
      </w:pPr>
      <w:r>
        <w:separator/>
      </w:r>
    </w:p>
  </w:endnote>
  <w:endnote w:type="continuationSeparator" w:id="0">
    <w:p w14:paraId="041996F1" w14:textId="77777777" w:rsidR="009E48AF" w:rsidRDefault="009E48AF" w:rsidP="00BC0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ACCD" w14:textId="77777777" w:rsidR="006357DC" w:rsidRDefault="00635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633D" w14:textId="77777777" w:rsidR="006357DC" w:rsidRDefault="00635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A5D6" w14:textId="77777777" w:rsidR="006357DC" w:rsidRDefault="00635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C95B2" w14:textId="77777777" w:rsidR="009E48AF" w:rsidRDefault="009E48AF" w:rsidP="00BC076D">
      <w:pPr>
        <w:spacing w:after="0" w:line="240" w:lineRule="auto"/>
      </w:pPr>
      <w:r>
        <w:separator/>
      </w:r>
    </w:p>
  </w:footnote>
  <w:footnote w:type="continuationSeparator" w:id="0">
    <w:p w14:paraId="165C4DDC" w14:textId="77777777" w:rsidR="009E48AF" w:rsidRDefault="009E48AF" w:rsidP="00BC076D">
      <w:pPr>
        <w:spacing w:after="0" w:line="240" w:lineRule="auto"/>
      </w:pPr>
      <w:r>
        <w:continuationSeparator/>
      </w:r>
    </w:p>
  </w:footnote>
  <w:footnote w:id="1">
    <w:p w14:paraId="53793577" w14:textId="77777777" w:rsidR="00BC076D" w:rsidRPr="00743D2A" w:rsidRDefault="00BC076D" w:rsidP="00BC076D">
      <w:pPr>
        <w:pStyle w:val="FootnoteText"/>
        <w:jc w:val="both"/>
        <w:rPr>
          <w:rFonts w:ascii="Simplified Arabic" w:hAnsi="Simplified Arabic"/>
          <w:sz w:val="24"/>
          <w:szCs w:val="24"/>
          <w:vertAlign w:val="superscript"/>
        </w:rPr>
      </w:pPr>
      <w:r w:rsidRPr="00743D2A">
        <w:rPr>
          <w:sz w:val="24"/>
          <w:szCs w:val="24"/>
        </w:rPr>
        <w:footnoteRef/>
      </w:r>
      <w:r>
        <w:rPr>
          <w:rFonts w:ascii="Simplified Arabic" w:hAnsi="Simplified Arabic"/>
          <w:sz w:val="24"/>
          <w:szCs w:val="24"/>
          <w:rtl/>
        </w:rPr>
        <w:t xml:space="preserve">) </w:t>
      </w:r>
      <w:r w:rsidRPr="00743D2A">
        <w:rPr>
          <w:rFonts w:ascii="Simplified Arabic" w:hAnsi="Simplified Arabic"/>
          <w:sz w:val="24"/>
          <w:szCs w:val="24"/>
          <w:rtl/>
        </w:rPr>
        <w:t xml:space="preserve">همام محمد محمود زهران </w:t>
      </w:r>
      <w:r>
        <w:rPr>
          <w:rFonts w:ascii="Simplified Arabic" w:hAnsi="Simplified Arabic" w:hint="cs"/>
          <w:sz w:val="24"/>
          <w:szCs w:val="24"/>
          <w:rtl/>
        </w:rPr>
        <w:t>:</w:t>
      </w:r>
      <w:r w:rsidRPr="00743D2A">
        <w:rPr>
          <w:rFonts w:ascii="Simplified Arabic" w:hAnsi="Simplified Arabic"/>
          <w:sz w:val="24"/>
          <w:szCs w:val="24"/>
          <w:rtl/>
        </w:rPr>
        <w:t xml:space="preserve"> التأمينات العيني</w:t>
      </w:r>
      <w:r w:rsidRPr="00743D2A">
        <w:rPr>
          <w:rFonts w:ascii="Simplified Arabic" w:hAnsi="Simplified Arabic" w:hint="cs"/>
          <w:sz w:val="24"/>
          <w:szCs w:val="24"/>
          <w:rtl/>
        </w:rPr>
        <w:t>ة</w:t>
      </w:r>
      <w:r w:rsidRPr="00743D2A">
        <w:rPr>
          <w:rFonts w:ascii="Simplified Arabic" w:hAnsi="Simplified Arabic"/>
          <w:sz w:val="24"/>
          <w:szCs w:val="24"/>
          <w:rtl/>
        </w:rPr>
        <w:t xml:space="preserve"> والشخصية </w:t>
      </w:r>
      <w:r>
        <w:rPr>
          <w:rFonts w:ascii="Simplified Arabic" w:hAnsi="Simplified Arabic" w:hint="cs"/>
          <w:sz w:val="24"/>
          <w:szCs w:val="24"/>
          <w:rtl/>
        </w:rPr>
        <w:t>-</w:t>
      </w:r>
      <w:r w:rsidRPr="00743D2A">
        <w:rPr>
          <w:rFonts w:ascii="Simplified Arabic" w:hAnsi="Simplified Arabic"/>
          <w:sz w:val="24"/>
          <w:szCs w:val="24"/>
          <w:rtl/>
        </w:rPr>
        <w:t xml:space="preserve"> ط 2010 </w:t>
      </w:r>
      <w:r>
        <w:rPr>
          <w:rFonts w:ascii="Simplified Arabic" w:hAnsi="Simplified Arabic" w:hint="cs"/>
          <w:sz w:val="24"/>
          <w:szCs w:val="24"/>
          <w:rtl/>
        </w:rPr>
        <w:t>-</w:t>
      </w:r>
      <w:r w:rsidRPr="00743D2A">
        <w:rPr>
          <w:rFonts w:ascii="Simplified Arabic" w:hAnsi="Simplified Arabic"/>
          <w:sz w:val="24"/>
          <w:szCs w:val="24"/>
          <w:rtl/>
        </w:rPr>
        <w:t xml:space="preserve"> دار الجامعة الجديدة </w:t>
      </w:r>
      <w:r>
        <w:rPr>
          <w:rFonts w:ascii="Simplified Arabic" w:hAnsi="Simplified Arabic" w:hint="cs"/>
          <w:sz w:val="24"/>
          <w:szCs w:val="24"/>
          <w:rtl/>
        </w:rPr>
        <w:t>-</w:t>
      </w:r>
      <w:r w:rsidRPr="00743D2A">
        <w:rPr>
          <w:rFonts w:ascii="Simplified Arabic" w:hAnsi="Simplified Arabic"/>
          <w:sz w:val="24"/>
          <w:szCs w:val="24"/>
          <w:rtl/>
        </w:rPr>
        <w:t xml:space="preserve"> صــ 448 .</w:t>
      </w:r>
      <w:r w:rsidRPr="00743D2A">
        <w:rPr>
          <w:rFonts w:ascii="Simplified Arabic" w:hAnsi="Simplified Arabic"/>
          <w:sz w:val="24"/>
          <w:szCs w:val="24"/>
          <w:vertAlign w:val="superscript"/>
          <w:rtl/>
        </w:rPr>
        <w:t xml:space="preserve">  </w:t>
      </w:r>
    </w:p>
  </w:footnote>
  <w:footnote w:id="2">
    <w:p w14:paraId="2A58C1FF" w14:textId="4E53301A" w:rsidR="00BC076D" w:rsidRDefault="00BC076D" w:rsidP="00BC076D">
      <w:pPr>
        <w:pStyle w:val="FootnoteText"/>
        <w:jc w:val="both"/>
        <w:rPr>
          <w:rFonts w:ascii="Simplified Arabic" w:hAnsi="Simplified Arabic"/>
          <w:sz w:val="24"/>
          <w:szCs w:val="24"/>
          <w:rtl/>
        </w:rPr>
      </w:pPr>
      <w:r w:rsidRPr="009A56AA">
        <w:rPr>
          <w:rFonts w:ascii="Simplified Arabic" w:hAnsi="Simplified Arabic"/>
          <w:sz w:val="24"/>
          <w:szCs w:val="24"/>
        </w:rPr>
        <w:footnoteRef/>
      </w:r>
      <w:r w:rsidRPr="009A56AA">
        <w:rPr>
          <w:rFonts w:ascii="Simplified Arabic" w:hAnsi="Simplified Arabic"/>
          <w:sz w:val="24"/>
          <w:szCs w:val="24"/>
          <w:rtl/>
        </w:rPr>
        <w:t xml:space="preserve"> </w:t>
      </w:r>
      <w:r w:rsidRPr="009A56AA">
        <w:rPr>
          <w:rFonts w:ascii="Simplified Arabic" w:hAnsi="Simplified Arabic" w:hint="cs"/>
          <w:sz w:val="24"/>
          <w:szCs w:val="24"/>
          <w:rtl/>
        </w:rPr>
        <w:t>)</w:t>
      </w:r>
      <w:r>
        <w:rPr>
          <w:rFonts w:ascii="Simplified Arabic" w:hAnsi="Simplified Arabic" w:hint="cs"/>
          <w:sz w:val="24"/>
          <w:szCs w:val="24"/>
          <w:rtl/>
        </w:rPr>
        <w:t xml:space="preserve"> </w:t>
      </w:r>
      <w:r>
        <w:rPr>
          <w:rFonts w:ascii="Simplified Arabic" w:hAnsi="Simplified Arabic" w:hint="cs"/>
          <w:sz w:val="24"/>
          <w:szCs w:val="24"/>
          <w:rtl/>
        </w:rPr>
        <w:t>سليمان مرقس : الوافي في شرح القانون المدني  -  دار الكتب القانونية شتات - ج 6 أحكام الإلتزام - ط2 عام 1998 - ص 818 .</w:t>
      </w:r>
    </w:p>
    <w:p w14:paraId="533615A7" w14:textId="77777777" w:rsidR="00BC076D" w:rsidRDefault="00BC076D" w:rsidP="00BC076D">
      <w:pPr>
        <w:pStyle w:val="FootnoteText"/>
        <w:jc w:val="both"/>
        <w:rPr>
          <w:rFonts w:ascii="Simplified Arabic" w:hAnsi="Simplified Arabic"/>
          <w:sz w:val="24"/>
          <w:szCs w:val="24"/>
          <w:rtl/>
        </w:rPr>
      </w:pPr>
    </w:p>
    <w:p w14:paraId="03D278A5" w14:textId="77777777" w:rsidR="00BC076D" w:rsidRDefault="00BC076D" w:rsidP="00BC076D">
      <w:pPr>
        <w:pStyle w:val="FootnoteText"/>
        <w:jc w:val="both"/>
        <w:rPr>
          <w:rFonts w:ascii="Simplified Arabic" w:hAnsi="Simplified Arabic"/>
          <w:sz w:val="24"/>
          <w:szCs w:val="24"/>
          <w:rtl/>
        </w:rPr>
      </w:pPr>
    </w:p>
    <w:p w14:paraId="72149C05" w14:textId="77777777" w:rsidR="00BC076D" w:rsidRDefault="00BC076D" w:rsidP="00BC076D">
      <w:pPr>
        <w:pStyle w:val="FootnoteText"/>
        <w:jc w:val="both"/>
        <w:rPr>
          <w:rFonts w:ascii="Simplified Arabic" w:hAnsi="Simplified Arabic"/>
          <w:sz w:val="24"/>
          <w:szCs w:val="24"/>
          <w:rtl/>
        </w:rPr>
      </w:pPr>
    </w:p>
    <w:p w14:paraId="27768719" w14:textId="77777777" w:rsidR="00BC076D" w:rsidRDefault="00BC076D" w:rsidP="00BC076D">
      <w:pPr>
        <w:pStyle w:val="FootnoteText"/>
        <w:jc w:val="both"/>
        <w:rPr>
          <w:rFonts w:ascii="Simplified Arabic" w:hAnsi="Simplified Arabic"/>
          <w:sz w:val="24"/>
          <w:szCs w:val="24"/>
          <w:rtl/>
        </w:rPr>
      </w:pPr>
    </w:p>
    <w:p w14:paraId="1C5A53BB" w14:textId="77777777" w:rsidR="00BC076D" w:rsidRDefault="00BC076D" w:rsidP="00BC076D">
      <w:pPr>
        <w:pStyle w:val="FootnoteText"/>
        <w:jc w:val="both"/>
        <w:rPr>
          <w:rFonts w:ascii="Simplified Arabic" w:hAnsi="Simplified Arabic"/>
          <w:sz w:val="24"/>
          <w:szCs w:val="24"/>
          <w:rtl/>
        </w:rPr>
      </w:pPr>
    </w:p>
    <w:p w14:paraId="63DD8A53" w14:textId="77777777" w:rsidR="00BC076D" w:rsidRDefault="00BC076D" w:rsidP="00BC076D">
      <w:pPr>
        <w:pStyle w:val="FootnoteText"/>
        <w:jc w:val="both"/>
        <w:rPr>
          <w:rFonts w:ascii="Simplified Arabic" w:hAnsi="Simplified Arabic"/>
          <w:sz w:val="24"/>
          <w:szCs w:val="24"/>
          <w:rtl/>
        </w:rPr>
      </w:pPr>
    </w:p>
    <w:p w14:paraId="228D1B21" w14:textId="77777777" w:rsidR="00BC076D" w:rsidRDefault="00BC076D" w:rsidP="00BC076D">
      <w:pPr>
        <w:pStyle w:val="FootnoteText"/>
        <w:jc w:val="both"/>
        <w:rPr>
          <w:rFonts w:ascii="Simplified Arabic" w:hAnsi="Simplified Arabic"/>
          <w:sz w:val="24"/>
          <w:szCs w:val="24"/>
          <w:rtl/>
        </w:rPr>
      </w:pPr>
    </w:p>
    <w:p w14:paraId="02A1E0B1" w14:textId="77777777" w:rsidR="00BC076D" w:rsidRDefault="00BC076D" w:rsidP="00BC076D">
      <w:pPr>
        <w:pStyle w:val="FootnoteText"/>
        <w:jc w:val="both"/>
        <w:rPr>
          <w:rFonts w:ascii="Simplified Arabic" w:hAnsi="Simplified Arabic"/>
          <w:sz w:val="24"/>
          <w:szCs w:val="24"/>
          <w:rtl/>
        </w:rPr>
      </w:pPr>
    </w:p>
    <w:p w14:paraId="7B7C39F1" w14:textId="77777777" w:rsidR="00BC076D" w:rsidRDefault="00BC076D" w:rsidP="00BC076D">
      <w:pPr>
        <w:pStyle w:val="FootnoteText"/>
        <w:jc w:val="both"/>
        <w:rPr>
          <w:rFonts w:ascii="Simplified Arabic" w:hAnsi="Simplified Arabic"/>
          <w:sz w:val="24"/>
          <w:szCs w:val="24"/>
          <w:rtl/>
        </w:rPr>
      </w:pPr>
    </w:p>
    <w:p w14:paraId="77D04926" w14:textId="77777777" w:rsidR="00BC076D" w:rsidRDefault="00BC076D" w:rsidP="00BC076D">
      <w:pPr>
        <w:pStyle w:val="FootnoteText"/>
        <w:jc w:val="both"/>
        <w:rPr>
          <w:rFonts w:ascii="Simplified Arabic" w:hAnsi="Simplified Arabic"/>
          <w:sz w:val="24"/>
          <w:szCs w:val="24"/>
          <w:rtl/>
        </w:rPr>
      </w:pPr>
    </w:p>
    <w:p w14:paraId="0819693D" w14:textId="77777777" w:rsidR="00BC076D" w:rsidRDefault="00BC076D" w:rsidP="00BC076D">
      <w:pPr>
        <w:pStyle w:val="FootnoteText"/>
        <w:jc w:val="both"/>
        <w:rPr>
          <w:rFonts w:ascii="Simplified Arabic" w:hAnsi="Simplified Arabic"/>
          <w:sz w:val="24"/>
          <w:szCs w:val="24"/>
          <w:rtl/>
        </w:rPr>
      </w:pPr>
    </w:p>
    <w:p w14:paraId="22F007FD" w14:textId="7559947A" w:rsidR="00BC076D" w:rsidRDefault="00BC076D" w:rsidP="00BC076D">
      <w:pPr>
        <w:pStyle w:val="FootnoteText"/>
        <w:jc w:val="center"/>
      </w:pPr>
      <w:r>
        <w:rPr>
          <w:rFonts w:hint="cs"/>
          <w:rtl/>
        </w:rPr>
        <w:t>113</w:t>
      </w:r>
    </w:p>
  </w:footnote>
  <w:footnote w:id="3">
    <w:p w14:paraId="3417A0C8"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أنور طلبة </w:t>
      </w:r>
      <w:r>
        <w:rPr>
          <w:rFonts w:ascii="Simplified Arabic" w:hAnsi="Simplified Arabic" w:hint="cs"/>
          <w:sz w:val="24"/>
          <w:szCs w:val="24"/>
          <w:rtl/>
        </w:rPr>
        <w:t>-</w:t>
      </w:r>
      <w:r>
        <w:rPr>
          <w:rFonts w:ascii="Simplified Arabic" w:hAnsi="Simplified Arabic"/>
          <w:sz w:val="24"/>
          <w:szCs w:val="24"/>
          <w:rtl/>
        </w:rPr>
        <w:t xml:space="preserve"> المطول </w:t>
      </w:r>
      <w:r w:rsidRPr="00743D2A">
        <w:rPr>
          <w:rFonts w:ascii="Simplified Arabic" w:hAnsi="Simplified Arabic"/>
          <w:sz w:val="24"/>
          <w:szCs w:val="24"/>
          <w:rtl/>
        </w:rPr>
        <w:t xml:space="preserve">في شرح القانون المدني </w:t>
      </w:r>
      <w:r>
        <w:rPr>
          <w:rFonts w:ascii="Simplified Arabic" w:hAnsi="Simplified Arabic"/>
          <w:sz w:val="24"/>
          <w:szCs w:val="24"/>
          <w:rtl/>
        </w:rPr>
        <w:t>–</w:t>
      </w:r>
      <w:r w:rsidRPr="00743D2A">
        <w:rPr>
          <w:rFonts w:hint="cs"/>
          <w:sz w:val="24"/>
          <w:szCs w:val="24"/>
          <w:rtl/>
        </w:rPr>
        <w:t xml:space="preserve"> </w:t>
      </w:r>
      <w:r>
        <w:rPr>
          <w:rFonts w:ascii="Simplified Arabic" w:hAnsi="Simplified Arabic" w:hint="cs"/>
          <w:sz w:val="24"/>
          <w:szCs w:val="24"/>
          <w:rtl/>
        </w:rPr>
        <w:t>المرجع السابق</w:t>
      </w:r>
      <w:r w:rsidRPr="00743D2A">
        <w:rPr>
          <w:rFonts w:ascii="Simplified Arabic" w:hAnsi="Simplified Arabic" w:hint="cs"/>
          <w:sz w:val="24"/>
          <w:szCs w:val="24"/>
          <w:rtl/>
        </w:rPr>
        <w:t xml:space="preserve"> </w:t>
      </w:r>
      <w:r>
        <w:rPr>
          <w:rFonts w:ascii="Simplified Arabic" w:hAnsi="Simplified Arabic" w:hint="cs"/>
          <w:sz w:val="24"/>
          <w:szCs w:val="24"/>
          <w:rtl/>
        </w:rPr>
        <w:t>-</w:t>
      </w:r>
      <w:r w:rsidRPr="00743D2A">
        <w:rPr>
          <w:rFonts w:ascii="Simplified Arabic" w:hAnsi="Simplified Arabic"/>
          <w:sz w:val="24"/>
          <w:szCs w:val="24"/>
          <w:rtl/>
        </w:rPr>
        <w:t xml:space="preserve"> ج5 </w:t>
      </w:r>
      <w:r>
        <w:rPr>
          <w:rFonts w:ascii="Simplified Arabic" w:hAnsi="Simplified Arabic" w:hint="cs"/>
          <w:sz w:val="24"/>
          <w:szCs w:val="24"/>
          <w:rtl/>
        </w:rPr>
        <w:t>-</w:t>
      </w:r>
      <w:r w:rsidRPr="00743D2A">
        <w:rPr>
          <w:rFonts w:ascii="Simplified Arabic" w:hAnsi="Simplified Arabic"/>
          <w:sz w:val="24"/>
          <w:szCs w:val="24"/>
          <w:rtl/>
        </w:rPr>
        <w:t xml:space="preserve"> ص 435</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  </w:t>
      </w:r>
    </w:p>
  </w:footnote>
  <w:footnote w:id="4">
    <w:p w14:paraId="097FF5B9" w14:textId="77777777" w:rsidR="00BC076D" w:rsidRDefault="00BC076D" w:rsidP="00BC076D">
      <w:pPr>
        <w:pStyle w:val="FootnoteText"/>
        <w:jc w:val="both"/>
        <w:rPr>
          <w:rFonts w:ascii="Simplified Arabic" w:hAnsi="Simplified Arabic"/>
          <w:sz w:val="24"/>
          <w:szCs w:val="24"/>
          <w:rtl/>
        </w:rPr>
      </w:pPr>
      <w:r w:rsidRPr="00DF1D99">
        <w:rPr>
          <w:rFonts w:ascii="Simplified Arabic" w:hAnsi="Simplified Arabic"/>
          <w:sz w:val="24"/>
          <w:szCs w:val="24"/>
        </w:rPr>
        <w:footnoteRef/>
      </w:r>
      <w:r w:rsidRPr="00DF1D99">
        <w:rPr>
          <w:rFonts w:ascii="Simplified Arabic" w:hAnsi="Simplified Arabic"/>
          <w:sz w:val="24"/>
          <w:szCs w:val="24"/>
          <w:rtl/>
        </w:rPr>
        <w:t xml:space="preserve"> </w:t>
      </w:r>
      <w:r w:rsidRPr="00DF1D99">
        <w:rPr>
          <w:rFonts w:ascii="Simplified Arabic" w:hAnsi="Simplified Arabic" w:hint="cs"/>
          <w:sz w:val="24"/>
          <w:szCs w:val="24"/>
          <w:rtl/>
        </w:rPr>
        <w:t>)</w:t>
      </w:r>
      <w:r w:rsidRPr="00DF1D99">
        <w:rPr>
          <w:rtl/>
        </w:rPr>
        <w:t xml:space="preserve"> </w:t>
      </w:r>
      <w:r w:rsidRPr="00DF1D99">
        <w:rPr>
          <w:rFonts w:ascii="Simplified Arabic" w:hAnsi="Simplified Arabic"/>
          <w:sz w:val="24"/>
          <w:szCs w:val="24"/>
          <w:rtl/>
        </w:rPr>
        <w:t>نص المادة 469 معاملات مدنية</w:t>
      </w:r>
      <w:r>
        <w:rPr>
          <w:rFonts w:ascii="Simplified Arabic" w:hAnsi="Simplified Arabic" w:hint="cs"/>
          <w:sz w:val="24"/>
          <w:szCs w:val="24"/>
          <w:rtl/>
        </w:rPr>
        <w:t xml:space="preserve"> إماراتي . </w:t>
      </w:r>
    </w:p>
    <w:p w14:paraId="15F51890" w14:textId="77777777" w:rsidR="00BC076D" w:rsidRDefault="00BC076D" w:rsidP="00BC076D">
      <w:pPr>
        <w:pStyle w:val="FootnoteText"/>
        <w:jc w:val="both"/>
        <w:rPr>
          <w:rFonts w:ascii="Simplified Arabic" w:hAnsi="Simplified Arabic"/>
          <w:sz w:val="24"/>
          <w:szCs w:val="24"/>
          <w:rtl/>
        </w:rPr>
      </w:pPr>
    </w:p>
    <w:p w14:paraId="26958B71" w14:textId="77777777" w:rsidR="00BC076D" w:rsidRDefault="00BC076D" w:rsidP="00BC076D">
      <w:pPr>
        <w:pStyle w:val="FootnoteText"/>
        <w:jc w:val="both"/>
        <w:rPr>
          <w:rFonts w:ascii="Simplified Arabic" w:hAnsi="Simplified Arabic"/>
          <w:sz w:val="24"/>
          <w:szCs w:val="24"/>
          <w:rtl/>
        </w:rPr>
      </w:pPr>
    </w:p>
    <w:p w14:paraId="47DF5154" w14:textId="77777777" w:rsidR="00BC076D" w:rsidRDefault="00BC076D" w:rsidP="00BC076D">
      <w:pPr>
        <w:pStyle w:val="FootnoteText"/>
        <w:jc w:val="both"/>
        <w:rPr>
          <w:rFonts w:ascii="Simplified Arabic" w:hAnsi="Simplified Arabic"/>
          <w:sz w:val="24"/>
          <w:szCs w:val="24"/>
          <w:rtl/>
        </w:rPr>
      </w:pPr>
    </w:p>
    <w:p w14:paraId="76FBF3A4" w14:textId="77777777" w:rsidR="00BC076D" w:rsidRDefault="00BC076D" w:rsidP="00BC076D">
      <w:pPr>
        <w:pStyle w:val="FootnoteText"/>
        <w:jc w:val="both"/>
        <w:rPr>
          <w:rFonts w:ascii="Simplified Arabic" w:hAnsi="Simplified Arabic"/>
          <w:sz w:val="24"/>
          <w:szCs w:val="24"/>
          <w:rtl/>
        </w:rPr>
      </w:pPr>
    </w:p>
    <w:p w14:paraId="449D1645" w14:textId="77777777" w:rsidR="00BC076D" w:rsidRDefault="00BC076D" w:rsidP="00BC076D">
      <w:pPr>
        <w:pStyle w:val="FootnoteText"/>
        <w:jc w:val="both"/>
        <w:rPr>
          <w:rFonts w:ascii="Simplified Arabic" w:hAnsi="Simplified Arabic"/>
          <w:sz w:val="24"/>
          <w:szCs w:val="24"/>
          <w:rtl/>
        </w:rPr>
      </w:pPr>
    </w:p>
    <w:p w14:paraId="245382D9" w14:textId="77777777" w:rsidR="00BC076D" w:rsidRDefault="00BC076D" w:rsidP="00BC076D">
      <w:pPr>
        <w:pStyle w:val="FootnoteText"/>
        <w:jc w:val="both"/>
        <w:rPr>
          <w:rFonts w:ascii="Simplified Arabic" w:hAnsi="Simplified Arabic"/>
          <w:sz w:val="24"/>
          <w:szCs w:val="24"/>
          <w:rtl/>
        </w:rPr>
      </w:pPr>
    </w:p>
    <w:p w14:paraId="5B63F23E" w14:textId="77777777" w:rsidR="00BC076D" w:rsidRDefault="00BC076D" w:rsidP="00BC076D">
      <w:pPr>
        <w:pStyle w:val="FootnoteText"/>
        <w:jc w:val="both"/>
        <w:rPr>
          <w:rFonts w:ascii="Simplified Arabic" w:hAnsi="Simplified Arabic"/>
          <w:sz w:val="24"/>
          <w:szCs w:val="24"/>
          <w:rtl/>
        </w:rPr>
      </w:pPr>
    </w:p>
    <w:p w14:paraId="53F17F58" w14:textId="77777777" w:rsidR="00BC076D" w:rsidRDefault="00BC076D" w:rsidP="00BC076D">
      <w:pPr>
        <w:pStyle w:val="FootnoteText"/>
        <w:jc w:val="both"/>
        <w:rPr>
          <w:rFonts w:ascii="Simplified Arabic" w:hAnsi="Simplified Arabic"/>
          <w:sz w:val="24"/>
          <w:szCs w:val="24"/>
          <w:rtl/>
        </w:rPr>
      </w:pPr>
    </w:p>
    <w:p w14:paraId="48730F0C" w14:textId="77777777" w:rsidR="00BC076D" w:rsidRDefault="00BC076D" w:rsidP="00BC076D">
      <w:pPr>
        <w:pStyle w:val="FootnoteText"/>
        <w:jc w:val="both"/>
        <w:rPr>
          <w:rFonts w:ascii="Simplified Arabic" w:hAnsi="Simplified Arabic"/>
          <w:sz w:val="24"/>
          <w:szCs w:val="24"/>
          <w:rtl/>
        </w:rPr>
      </w:pPr>
    </w:p>
    <w:p w14:paraId="22CD7BAF" w14:textId="77777777" w:rsidR="00BC076D" w:rsidRDefault="00BC076D" w:rsidP="00BC076D">
      <w:pPr>
        <w:pStyle w:val="FootnoteText"/>
        <w:jc w:val="both"/>
        <w:rPr>
          <w:rFonts w:ascii="Simplified Arabic" w:hAnsi="Simplified Arabic"/>
          <w:sz w:val="24"/>
          <w:szCs w:val="24"/>
          <w:rtl/>
        </w:rPr>
      </w:pPr>
    </w:p>
    <w:p w14:paraId="0A98D9E3" w14:textId="77777777" w:rsidR="00BC076D" w:rsidRDefault="00BC076D" w:rsidP="00BC076D">
      <w:pPr>
        <w:pStyle w:val="FootnoteText"/>
        <w:jc w:val="both"/>
        <w:rPr>
          <w:rFonts w:ascii="Simplified Arabic" w:hAnsi="Simplified Arabic"/>
          <w:sz w:val="24"/>
          <w:szCs w:val="24"/>
          <w:rtl/>
        </w:rPr>
      </w:pPr>
    </w:p>
    <w:p w14:paraId="7C51224C" w14:textId="3FC44E8E" w:rsidR="00BC076D" w:rsidRDefault="00BC076D" w:rsidP="00BC076D">
      <w:pPr>
        <w:pStyle w:val="FootnoteText"/>
        <w:jc w:val="center"/>
      </w:pPr>
      <w:r>
        <w:rPr>
          <w:rFonts w:ascii="Simplified Arabic" w:hAnsi="Simplified Arabic" w:hint="cs"/>
          <w:sz w:val="24"/>
          <w:szCs w:val="24"/>
          <w:rtl/>
        </w:rPr>
        <w:t>114</w:t>
      </w:r>
    </w:p>
  </w:footnote>
  <w:footnote w:id="5">
    <w:p w14:paraId="34EBBE89"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صابر محمد محمد سيد </w:t>
      </w:r>
      <w:r>
        <w:rPr>
          <w:rFonts w:ascii="Simplified Arabic" w:hAnsi="Simplified Arabic" w:hint="cs"/>
          <w:sz w:val="24"/>
          <w:szCs w:val="24"/>
          <w:rtl/>
        </w:rPr>
        <w:t>:</w:t>
      </w:r>
      <w:r w:rsidRPr="00743D2A">
        <w:rPr>
          <w:rFonts w:ascii="Simplified Arabic" w:hAnsi="Simplified Arabic"/>
          <w:sz w:val="24"/>
          <w:szCs w:val="24"/>
          <w:rtl/>
        </w:rPr>
        <w:t xml:space="preserve"> تبعية الرهن للدين المضمون – دراسة مقارنة –</w:t>
      </w:r>
      <w:r>
        <w:rPr>
          <w:rFonts w:ascii="Simplified Arabic" w:hAnsi="Simplified Arabic" w:hint="cs"/>
          <w:sz w:val="24"/>
          <w:szCs w:val="24"/>
          <w:rtl/>
        </w:rPr>
        <w:t xml:space="preserve"> </w:t>
      </w:r>
      <w:r w:rsidRPr="00743D2A">
        <w:rPr>
          <w:rFonts w:ascii="Simplified Arabic" w:hAnsi="Simplified Arabic" w:hint="cs"/>
          <w:sz w:val="24"/>
          <w:szCs w:val="24"/>
          <w:rtl/>
        </w:rPr>
        <w:t>در</w:t>
      </w:r>
      <w:r>
        <w:rPr>
          <w:rFonts w:ascii="Simplified Arabic" w:hAnsi="Simplified Arabic" w:hint="cs"/>
          <w:sz w:val="24"/>
          <w:szCs w:val="24"/>
          <w:rtl/>
        </w:rPr>
        <w:t xml:space="preserve"> </w:t>
      </w:r>
      <w:r w:rsidRPr="00743D2A">
        <w:rPr>
          <w:rFonts w:ascii="Simplified Arabic" w:hAnsi="Simplified Arabic" w:hint="cs"/>
          <w:sz w:val="24"/>
          <w:szCs w:val="24"/>
          <w:rtl/>
        </w:rPr>
        <w:t>الكتب</w:t>
      </w:r>
      <w:r w:rsidRPr="00743D2A">
        <w:rPr>
          <w:rFonts w:ascii="Simplified Arabic" w:hAnsi="Simplified Arabic"/>
          <w:sz w:val="24"/>
          <w:szCs w:val="24"/>
          <w:rtl/>
        </w:rPr>
        <w:t xml:space="preserve"> </w:t>
      </w:r>
      <w:r w:rsidRPr="00743D2A">
        <w:rPr>
          <w:rFonts w:ascii="Simplified Arabic" w:hAnsi="Simplified Arabic" w:hint="cs"/>
          <w:sz w:val="24"/>
          <w:szCs w:val="24"/>
          <w:rtl/>
        </w:rPr>
        <w:t>القانونية</w:t>
      </w:r>
      <w:r>
        <w:rPr>
          <w:rFonts w:ascii="Simplified Arabic" w:hAnsi="Simplified Arabic" w:hint="cs"/>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hint="cs"/>
          <w:sz w:val="24"/>
          <w:szCs w:val="24"/>
          <w:rtl/>
        </w:rPr>
        <w:t>ط</w:t>
      </w:r>
      <w:r w:rsidRPr="00743D2A">
        <w:rPr>
          <w:rFonts w:ascii="Simplified Arabic" w:hAnsi="Simplified Arabic"/>
          <w:sz w:val="24"/>
          <w:szCs w:val="24"/>
          <w:rtl/>
        </w:rPr>
        <w:t xml:space="preserve"> 2009</w:t>
      </w:r>
      <w:r>
        <w:rPr>
          <w:rFonts w:ascii="Simplified Arabic" w:hAnsi="Simplified Arabic" w:hint="cs"/>
          <w:sz w:val="24"/>
          <w:szCs w:val="24"/>
          <w:rtl/>
        </w:rPr>
        <w:t xml:space="preserve"> -</w:t>
      </w:r>
      <w:r w:rsidRPr="00743D2A">
        <w:rPr>
          <w:rFonts w:ascii="Simplified Arabic" w:hAnsi="Simplified Arabic"/>
          <w:sz w:val="24"/>
          <w:szCs w:val="24"/>
          <w:rtl/>
        </w:rPr>
        <w:t xml:space="preserve"> ص 226.</w:t>
      </w:r>
    </w:p>
  </w:footnote>
  <w:footnote w:id="6">
    <w:p w14:paraId="52F967AF"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حسين النوري </w:t>
      </w:r>
      <w:r>
        <w:rPr>
          <w:rFonts w:ascii="Simplified Arabic" w:hAnsi="Simplified Arabic" w:hint="cs"/>
          <w:sz w:val="24"/>
          <w:szCs w:val="24"/>
          <w:rtl/>
        </w:rPr>
        <w:t>:</w:t>
      </w:r>
      <w:r w:rsidRPr="00743D2A">
        <w:rPr>
          <w:rFonts w:ascii="Simplified Arabic" w:hAnsi="Simplified Arabic"/>
          <w:sz w:val="24"/>
          <w:szCs w:val="24"/>
          <w:rtl/>
        </w:rPr>
        <w:t xml:space="preserve"> دروس موجزة في القانون</w:t>
      </w:r>
      <w:r>
        <w:rPr>
          <w:rFonts w:ascii="Simplified Arabic" w:hAnsi="Simplified Arabic" w:hint="cs"/>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hint="cs"/>
          <w:sz w:val="24"/>
          <w:szCs w:val="24"/>
          <w:rtl/>
        </w:rPr>
        <w:t>مكتبة</w:t>
      </w:r>
      <w:r w:rsidRPr="00743D2A">
        <w:rPr>
          <w:rFonts w:ascii="Simplified Arabic" w:hAnsi="Simplified Arabic"/>
          <w:sz w:val="24"/>
          <w:szCs w:val="24"/>
          <w:rtl/>
        </w:rPr>
        <w:t xml:space="preserve"> </w:t>
      </w:r>
      <w:r w:rsidRPr="00743D2A">
        <w:rPr>
          <w:rFonts w:ascii="Simplified Arabic" w:hAnsi="Simplified Arabic" w:hint="cs"/>
          <w:sz w:val="24"/>
          <w:szCs w:val="24"/>
          <w:rtl/>
        </w:rPr>
        <w:t>عين</w:t>
      </w:r>
      <w:r w:rsidRPr="00743D2A">
        <w:rPr>
          <w:rFonts w:ascii="Simplified Arabic" w:hAnsi="Simplified Arabic"/>
          <w:sz w:val="24"/>
          <w:szCs w:val="24"/>
          <w:rtl/>
        </w:rPr>
        <w:t xml:space="preserve"> </w:t>
      </w:r>
      <w:r w:rsidRPr="00743D2A">
        <w:rPr>
          <w:rFonts w:ascii="Simplified Arabic" w:hAnsi="Simplified Arabic" w:hint="cs"/>
          <w:sz w:val="24"/>
          <w:szCs w:val="24"/>
          <w:rtl/>
        </w:rPr>
        <w:t xml:space="preserve">شمس </w:t>
      </w:r>
      <w:r>
        <w:rPr>
          <w:rFonts w:ascii="Simplified Arabic" w:hAnsi="Simplified Arabic" w:hint="cs"/>
          <w:sz w:val="24"/>
          <w:szCs w:val="24"/>
          <w:rtl/>
        </w:rPr>
        <w:t>-</w:t>
      </w:r>
      <w:r w:rsidRPr="00743D2A">
        <w:rPr>
          <w:rFonts w:ascii="Simplified Arabic" w:hAnsi="Simplified Arabic"/>
          <w:sz w:val="24"/>
          <w:szCs w:val="24"/>
          <w:rtl/>
        </w:rPr>
        <w:t xml:space="preserve"> ص 119. </w:t>
      </w:r>
    </w:p>
  </w:footnote>
  <w:footnote w:id="7">
    <w:p w14:paraId="450B8B9A"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السنهوري : الوسيط </w:t>
      </w:r>
      <w:r>
        <w:rPr>
          <w:rFonts w:ascii="Simplified Arabic" w:hAnsi="Simplified Arabic" w:hint="cs"/>
          <w:sz w:val="24"/>
          <w:szCs w:val="24"/>
          <w:rtl/>
        </w:rPr>
        <w:t xml:space="preserve"> -</w:t>
      </w:r>
      <w:r w:rsidRPr="00743D2A">
        <w:rPr>
          <w:rFonts w:ascii="Simplified Arabic" w:hAnsi="Simplified Arabic" w:hint="cs"/>
          <w:sz w:val="24"/>
          <w:szCs w:val="24"/>
          <w:rtl/>
        </w:rPr>
        <w:t xml:space="preserve"> المرجع السابق</w:t>
      </w:r>
      <w:r w:rsidRPr="00743D2A">
        <w:rPr>
          <w:rFonts w:ascii="Simplified Arabic" w:hAnsi="Simplified Arabic"/>
          <w:sz w:val="24"/>
          <w:szCs w:val="24"/>
          <w:rtl/>
        </w:rPr>
        <w:t xml:space="preserve"> </w:t>
      </w:r>
      <w:r>
        <w:rPr>
          <w:rFonts w:ascii="Simplified Arabic" w:hAnsi="Simplified Arabic" w:hint="cs"/>
          <w:sz w:val="24"/>
          <w:szCs w:val="24"/>
          <w:rtl/>
        </w:rPr>
        <w:t>-</w:t>
      </w:r>
      <w:r w:rsidRPr="00743D2A">
        <w:rPr>
          <w:rFonts w:ascii="Simplified Arabic" w:hAnsi="Simplified Arabic"/>
          <w:sz w:val="24"/>
          <w:szCs w:val="24"/>
          <w:rtl/>
        </w:rPr>
        <w:t xml:space="preserve"> ج 10 </w:t>
      </w:r>
      <w:r>
        <w:rPr>
          <w:rFonts w:ascii="Simplified Arabic" w:hAnsi="Simplified Arabic" w:hint="cs"/>
          <w:sz w:val="24"/>
          <w:szCs w:val="24"/>
          <w:rtl/>
        </w:rPr>
        <w:t>-</w:t>
      </w:r>
      <w:r w:rsidRPr="00743D2A">
        <w:rPr>
          <w:rFonts w:ascii="Simplified Arabic" w:hAnsi="Simplified Arabic"/>
          <w:sz w:val="24"/>
          <w:szCs w:val="24"/>
          <w:rtl/>
        </w:rPr>
        <w:t xml:space="preserve"> ص 494  . </w:t>
      </w:r>
    </w:p>
    <w:p w14:paraId="5F95F364" w14:textId="77777777" w:rsidR="00BC076D" w:rsidRDefault="00BC076D" w:rsidP="00BC076D">
      <w:pPr>
        <w:pStyle w:val="FootnoteText"/>
        <w:jc w:val="both"/>
        <w:rPr>
          <w:rFonts w:ascii="Simplified Arabic" w:hAnsi="Simplified Arabic"/>
          <w:sz w:val="24"/>
          <w:szCs w:val="24"/>
          <w:rtl/>
        </w:rPr>
      </w:pPr>
    </w:p>
    <w:p w14:paraId="2915F2BF" w14:textId="77777777" w:rsidR="00BC076D" w:rsidRDefault="00BC076D" w:rsidP="00BC076D">
      <w:pPr>
        <w:pStyle w:val="FootnoteText"/>
        <w:jc w:val="both"/>
        <w:rPr>
          <w:rFonts w:ascii="Simplified Arabic" w:hAnsi="Simplified Arabic"/>
          <w:sz w:val="24"/>
          <w:szCs w:val="24"/>
          <w:rtl/>
        </w:rPr>
      </w:pPr>
    </w:p>
    <w:p w14:paraId="2052CFAC" w14:textId="77777777" w:rsidR="00BC076D" w:rsidRDefault="00BC076D" w:rsidP="00BC076D">
      <w:pPr>
        <w:pStyle w:val="FootnoteText"/>
        <w:jc w:val="both"/>
        <w:rPr>
          <w:rFonts w:ascii="Simplified Arabic" w:hAnsi="Simplified Arabic"/>
          <w:sz w:val="24"/>
          <w:szCs w:val="24"/>
          <w:rtl/>
        </w:rPr>
      </w:pPr>
    </w:p>
    <w:p w14:paraId="2779D72E" w14:textId="77777777" w:rsidR="00BC076D" w:rsidRDefault="00BC076D" w:rsidP="00BC076D">
      <w:pPr>
        <w:pStyle w:val="FootnoteText"/>
        <w:jc w:val="both"/>
        <w:rPr>
          <w:rFonts w:ascii="Simplified Arabic" w:hAnsi="Simplified Arabic"/>
          <w:sz w:val="24"/>
          <w:szCs w:val="24"/>
          <w:rtl/>
        </w:rPr>
      </w:pPr>
    </w:p>
    <w:p w14:paraId="3A656DB7" w14:textId="77777777" w:rsidR="00BC076D" w:rsidRDefault="00BC076D" w:rsidP="00BC076D">
      <w:pPr>
        <w:pStyle w:val="FootnoteText"/>
        <w:jc w:val="both"/>
        <w:rPr>
          <w:rFonts w:ascii="Simplified Arabic" w:hAnsi="Simplified Arabic"/>
          <w:sz w:val="24"/>
          <w:szCs w:val="24"/>
          <w:rtl/>
        </w:rPr>
      </w:pPr>
    </w:p>
    <w:p w14:paraId="00348A3C" w14:textId="77777777" w:rsidR="00BC076D" w:rsidRDefault="00BC076D" w:rsidP="00BC076D">
      <w:pPr>
        <w:pStyle w:val="FootnoteText"/>
        <w:jc w:val="both"/>
        <w:rPr>
          <w:rFonts w:ascii="Simplified Arabic" w:hAnsi="Simplified Arabic"/>
          <w:sz w:val="24"/>
          <w:szCs w:val="24"/>
          <w:rtl/>
        </w:rPr>
      </w:pPr>
    </w:p>
    <w:p w14:paraId="120525C1" w14:textId="77777777" w:rsidR="00BC076D" w:rsidRDefault="00BC076D" w:rsidP="00BC076D">
      <w:pPr>
        <w:pStyle w:val="FootnoteText"/>
        <w:jc w:val="both"/>
        <w:rPr>
          <w:rFonts w:ascii="Simplified Arabic" w:hAnsi="Simplified Arabic"/>
          <w:sz w:val="24"/>
          <w:szCs w:val="24"/>
          <w:rtl/>
        </w:rPr>
      </w:pPr>
    </w:p>
    <w:p w14:paraId="364DEA79" w14:textId="77777777" w:rsidR="00BC076D" w:rsidRDefault="00BC076D" w:rsidP="00BC076D">
      <w:pPr>
        <w:pStyle w:val="FootnoteText"/>
        <w:jc w:val="both"/>
        <w:rPr>
          <w:rFonts w:ascii="Simplified Arabic" w:hAnsi="Simplified Arabic"/>
          <w:sz w:val="24"/>
          <w:szCs w:val="24"/>
          <w:rtl/>
        </w:rPr>
      </w:pPr>
    </w:p>
    <w:p w14:paraId="4DA8CC43" w14:textId="77777777" w:rsidR="00BC076D" w:rsidRDefault="00BC076D" w:rsidP="00BC076D">
      <w:pPr>
        <w:pStyle w:val="FootnoteText"/>
        <w:jc w:val="both"/>
        <w:rPr>
          <w:rFonts w:ascii="Simplified Arabic" w:hAnsi="Simplified Arabic"/>
          <w:sz w:val="24"/>
          <w:szCs w:val="24"/>
          <w:rtl/>
        </w:rPr>
      </w:pPr>
    </w:p>
    <w:p w14:paraId="2796D166" w14:textId="77777777" w:rsidR="00BC076D" w:rsidRDefault="00BC076D" w:rsidP="00BC076D">
      <w:pPr>
        <w:pStyle w:val="FootnoteText"/>
        <w:jc w:val="both"/>
        <w:rPr>
          <w:rFonts w:ascii="Simplified Arabic" w:hAnsi="Simplified Arabic"/>
          <w:sz w:val="24"/>
          <w:szCs w:val="24"/>
          <w:rtl/>
        </w:rPr>
      </w:pPr>
    </w:p>
    <w:p w14:paraId="79F1C67D" w14:textId="77777777" w:rsidR="00BC076D" w:rsidRDefault="00BC076D" w:rsidP="00BC076D">
      <w:pPr>
        <w:pStyle w:val="FootnoteText"/>
        <w:jc w:val="both"/>
        <w:rPr>
          <w:rFonts w:ascii="Simplified Arabic" w:hAnsi="Simplified Arabic"/>
          <w:sz w:val="24"/>
          <w:szCs w:val="24"/>
          <w:rtl/>
        </w:rPr>
      </w:pPr>
    </w:p>
    <w:p w14:paraId="1FDDA6E9" w14:textId="5195BBBC"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115</w:t>
      </w:r>
    </w:p>
  </w:footnote>
  <w:footnote w:id="8">
    <w:p w14:paraId="552C8E32" w14:textId="77777777" w:rsidR="00BC076D" w:rsidRDefault="00BC076D" w:rsidP="00BC076D">
      <w:pPr>
        <w:pStyle w:val="FootnoteText"/>
        <w:jc w:val="both"/>
        <w:rPr>
          <w:sz w:val="24"/>
          <w:szCs w:val="24"/>
          <w:rtl/>
        </w:rPr>
      </w:pPr>
      <w:r w:rsidRPr="00743D2A">
        <w:rPr>
          <w:rStyle w:val="FootnoteReference"/>
          <w:sz w:val="24"/>
          <w:szCs w:val="24"/>
        </w:rPr>
        <w:footnoteRef/>
      </w:r>
      <w:r w:rsidRPr="00743D2A">
        <w:rPr>
          <w:sz w:val="24"/>
          <w:szCs w:val="24"/>
          <w:rtl/>
        </w:rPr>
        <w:t xml:space="preserve"> </w:t>
      </w:r>
      <w:r w:rsidRPr="00743D2A">
        <w:rPr>
          <w:rFonts w:hint="cs"/>
          <w:sz w:val="24"/>
          <w:szCs w:val="24"/>
          <w:rtl/>
        </w:rPr>
        <w:t>) وقد</w:t>
      </w:r>
      <w:r w:rsidRPr="00743D2A">
        <w:rPr>
          <w:sz w:val="24"/>
          <w:szCs w:val="24"/>
          <w:rtl/>
        </w:rPr>
        <w:t xml:space="preserve"> </w:t>
      </w:r>
      <w:r w:rsidRPr="00743D2A">
        <w:rPr>
          <w:rFonts w:hint="cs"/>
          <w:sz w:val="24"/>
          <w:szCs w:val="24"/>
          <w:rtl/>
        </w:rPr>
        <w:t>أكدت</w:t>
      </w:r>
      <w:r w:rsidRPr="00743D2A">
        <w:rPr>
          <w:sz w:val="24"/>
          <w:szCs w:val="24"/>
          <w:rtl/>
        </w:rPr>
        <w:t xml:space="preserve"> </w:t>
      </w:r>
      <w:r w:rsidRPr="00743D2A">
        <w:rPr>
          <w:rFonts w:hint="cs"/>
          <w:sz w:val="24"/>
          <w:szCs w:val="24"/>
          <w:rtl/>
        </w:rPr>
        <w:t>المذكرة</w:t>
      </w:r>
      <w:r w:rsidRPr="00743D2A">
        <w:rPr>
          <w:sz w:val="24"/>
          <w:szCs w:val="24"/>
          <w:rtl/>
        </w:rPr>
        <w:t xml:space="preserve"> </w:t>
      </w:r>
      <w:r w:rsidRPr="00743D2A">
        <w:rPr>
          <w:rFonts w:hint="cs"/>
          <w:sz w:val="24"/>
          <w:szCs w:val="24"/>
          <w:rtl/>
        </w:rPr>
        <w:t>الإيضاحية</w:t>
      </w:r>
      <w:r w:rsidRPr="00743D2A">
        <w:rPr>
          <w:sz w:val="24"/>
          <w:szCs w:val="24"/>
          <w:rtl/>
        </w:rPr>
        <w:t xml:space="preserve"> </w:t>
      </w:r>
      <w:r w:rsidRPr="00743D2A">
        <w:rPr>
          <w:rFonts w:hint="cs"/>
          <w:sz w:val="24"/>
          <w:szCs w:val="24"/>
          <w:rtl/>
        </w:rPr>
        <w:t>لقانون</w:t>
      </w:r>
      <w:r w:rsidRPr="00743D2A">
        <w:rPr>
          <w:sz w:val="24"/>
          <w:szCs w:val="24"/>
          <w:rtl/>
        </w:rPr>
        <w:t xml:space="preserve"> </w:t>
      </w:r>
      <w:r w:rsidRPr="00743D2A">
        <w:rPr>
          <w:rFonts w:hint="cs"/>
          <w:sz w:val="24"/>
          <w:szCs w:val="24"/>
          <w:rtl/>
        </w:rPr>
        <w:t>المعاملات</w:t>
      </w:r>
      <w:r w:rsidRPr="00743D2A">
        <w:rPr>
          <w:sz w:val="24"/>
          <w:szCs w:val="24"/>
          <w:rtl/>
        </w:rPr>
        <w:t xml:space="preserve"> </w:t>
      </w:r>
      <w:r w:rsidRPr="00743D2A">
        <w:rPr>
          <w:rFonts w:hint="cs"/>
          <w:sz w:val="24"/>
          <w:szCs w:val="24"/>
          <w:rtl/>
        </w:rPr>
        <w:t>المدنية</w:t>
      </w:r>
      <w:r w:rsidRPr="00743D2A">
        <w:rPr>
          <w:sz w:val="24"/>
          <w:szCs w:val="24"/>
          <w:rtl/>
        </w:rPr>
        <w:t xml:space="preserve"> </w:t>
      </w:r>
      <w:r w:rsidRPr="00743D2A">
        <w:rPr>
          <w:rFonts w:hint="cs"/>
          <w:sz w:val="24"/>
          <w:szCs w:val="24"/>
          <w:rtl/>
        </w:rPr>
        <w:t>على</w:t>
      </w:r>
      <w:r w:rsidRPr="00743D2A">
        <w:rPr>
          <w:sz w:val="24"/>
          <w:szCs w:val="24"/>
          <w:rtl/>
        </w:rPr>
        <w:t xml:space="preserve"> </w:t>
      </w:r>
      <w:r w:rsidRPr="00743D2A">
        <w:rPr>
          <w:rFonts w:hint="cs"/>
          <w:sz w:val="24"/>
          <w:szCs w:val="24"/>
          <w:rtl/>
        </w:rPr>
        <w:t>الأحكام</w:t>
      </w:r>
      <w:r w:rsidRPr="00743D2A">
        <w:rPr>
          <w:sz w:val="24"/>
          <w:szCs w:val="24"/>
          <w:rtl/>
        </w:rPr>
        <w:t xml:space="preserve"> </w:t>
      </w:r>
      <w:r w:rsidRPr="00743D2A">
        <w:rPr>
          <w:rFonts w:hint="cs"/>
          <w:sz w:val="24"/>
          <w:szCs w:val="24"/>
          <w:rtl/>
        </w:rPr>
        <w:t>سالفة</w:t>
      </w:r>
      <w:r w:rsidRPr="00743D2A">
        <w:rPr>
          <w:sz w:val="24"/>
          <w:szCs w:val="24"/>
          <w:rtl/>
        </w:rPr>
        <w:t xml:space="preserve"> </w:t>
      </w:r>
      <w:r w:rsidRPr="00743D2A">
        <w:rPr>
          <w:rFonts w:hint="cs"/>
          <w:sz w:val="24"/>
          <w:szCs w:val="24"/>
          <w:rtl/>
        </w:rPr>
        <w:t>الذكر</w:t>
      </w:r>
      <w:r w:rsidRPr="00743D2A">
        <w:rPr>
          <w:sz w:val="24"/>
          <w:szCs w:val="24"/>
          <w:rtl/>
        </w:rPr>
        <w:t xml:space="preserve"> </w:t>
      </w:r>
      <w:r w:rsidRPr="00743D2A">
        <w:rPr>
          <w:rFonts w:hint="cs"/>
          <w:sz w:val="24"/>
          <w:szCs w:val="24"/>
          <w:rtl/>
        </w:rPr>
        <w:t>،</w:t>
      </w:r>
      <w:r w:rsidRPr="00743D2A">
        <w:rPr>
          <w:sz w:val="24"/>
          <w:szCs w:val="24"/>
          <w:rtl/>
        </w:rPr>
        <w:t xml:space="preserve"> </w:t>
      </w:r>
      <w:r w:rsidRPr="00743D2A">
        <w:rPr>
          <w:rFonts w:hint="cs"/>
          <w:sz w:val="24"/>
          <w:szCs w:val="24"/>
          <w:rtl/>
        </w:rPr>
        <w:t>حيث</w:t>
      </w:r>
      <w:r w:rsidRPr="00743D2A">
        <w:rPr>
          <w:sz w:val="24"/>
          <w:szCs w:val="24"/>
          <w:rtl/>
        </w:rPr>
        <w:t xml:space="preserve"> </w:t>
      </w:r>
      <w:r w:rsidRPr="00743D2A">
        <w:rPr>
          <w:rFonts w:hint="cs"/>
          <w:sz w:val="24"/>
          <w:szCs w:val="24"/>
          <w:rtl/>
        </w:rPr>
        <w:t>قررت</w:t>
      </w:r>
      <w:r w:rsidRPr="00743D2A">
        <w:rPr>
          <w:sz w:val="24"/>
          <w:szCs w:val="24"/>
          <w:rtl/>
        </w:rPr>
        <w:t xml:space="preserve"> </w:t>
      </w:r>
      <w:r w:rsidRPr="00743D2A">
        <w:rPr>
          <w:rFonts w:hint="cs"/>
          <w:sz w:val="24"/>
          <w:szCs w:val="24"/>
          <w:rtl/>
        </w:rPr>
        <w:t>أن</w:t>
      </w:r>
      <w:r w:rsidRPr="00743D2A">
        <w:rPr>
          <w:sz w:val="24"/>
          <w:szCs w:val="24"/>
          <w:rtl/>
        </w:rPr>
        <w:t xml:space="preserve"> </w:t>
      </w:r>
      <w:r w:rsidRPr="00743D2A">
        <w:rPr>
          <w:rFonts w:hint="cs"/>
          <w:sz w:val="24"/>
          <w:szCs w:val="24"/>
          <w:rtl/>
        </w:rPr>
        <w:t>الإبراء</w:t>
      </w:r>
      <w:r w:rsidRPr="00743D2A">
        <w:rPr>
          <w:sz w:val="24"/>
          <w:szCs w:val="24"/>
          <w:rtl/>
        </w:rPr>
        <w:t xml:space="preserve"> </w:t>
      </w:r>
      <w:r w:rsidRPr="00743D2A">
        <w:rPr>
          <w:rFonts w:hint="cs"/>
          <w:sz w:val="24"/>
          <w:szCs w:val="24"/>
          <w:rtl/>
        </w:rPr>
        <w:t>نوع</w:t>
      </w:r>
      <w:r w:rsidRPr="00743D2A">
        <w:rPr>
          <w:sz w:val="24"/>
          <w:szCs w:val="24"/>
          <w:rtl/>
        </w:rPr>
        <w:t xml:space="preserve"> </w:t>
      </w:r>
      <w:r w:rsidRPr="00743D2A">
        <w:rPr>
          <w:rFonts w:hint="cs"/>
          <w:sz w:val="24"/>
          <w:szCs w:val="24"/>
          <w:rtl/>
        </w:rPr>
        <w:t>من</w:t>
      </w:r>
      <w:r w:rsidRPr="00743D2A">
        <w:rPr>
          <w:sz w:val="24"/>
          <w:szCs w:val="24"/>
          <w:rtl/>
        </w:rPr>
        <w:t xml:space="preserve"> </w:t>
      </w:r>
      <w:r w:rsidRPr="00743D2A">
        <w:rPr>
          <w:rFonts w:hint="cs"/>
          <w:sz w:val="24"/>
          <w:szCs w:val="24"/>
          <w:rtl/>
        </w:rPr>
        <w:t>التبرع</w:t>
      </w:r>
      <w:r w:rsidRPr="00743D2A">
        <w:rPr>
          <w:sz w:val="24"/>
          <w:szCs w:val="24"/>
          <w:rtl/>
        </w:rPr>
        <w:t xml:space="preserve"> </w:t>
      </w:r>
      <w:r w:rsidRPr="00743D2A">
        <w:rPr>
          <w:rFonts w:hint="cs"/>
          <w:sz w:val="24"/>
          <w:szCs w:val="24"/>
          <w:rtl/>
        </w:rPr>
        <w:t>ولذا</w:t>
      </w:r>
      <w:r w:rsidRPr="00743D2A">
        <w:rPr>
          <w:sz w:val="24"/>
          <w:szCs w:val="24"/>
          <w:rtl/>
        </w:rPr>
        <w:t xml:space="preserve"> </w:t>
      </w:r>
      <w:r w:rsidRPr="00743D2A">
        <w:rPr>
          <w:rFonts w:hint="cs"/>
          <w:sz w:val="24"/>
          <w:szCs w:val="24"/>
          <w:rtl/>
        </w:rPr>
        <w:t>فقد</w:t>
      </w:r>
      <w:r w:rsidRPr="00743D2A">
        <w:rPr>
          <w:sz w:val="24"/>
          <w:szCs w:val="24"/>
          <w:rtl/>
        </w:rPr>
        <w:t xml:space="preserve"> </w:t>
      </w:r>
      <w:r w:rsidRPr="00743D2A">
        <w:rPr>
          <w:rFonts w:hint="cs"/>
          <w:sz w:val="24"/>
          <w:szCs w:val="24"/>
          <w:rtl/>
        </w:rPr>
        <w:t>نصت</w:t>
      </w:r>
      <w:r w:rsidRPr="00743D2A">
        <w:rPr>
          <w:sz w:val="24"/>
          <w:szCs w:val="24"/>
          <w:rtl/>
        </w:rPr>
        <w:t xml:space="preserve"> </w:t>
      </w:r>
      <w:r w:rsidRPr="00743D2A">
        <w:rPr>
          <w:rFonts w:hint="cs"/>
          <w:sz w:val="24"/>
          <w:szCs w:val="24"/>
          <w:rtl/>
        </w:rPr>
        <w:t>المادة</w:t>
      </w:r>
      <w:r w:rsidRPr="00743D2A">
        <w:rPr>
          <w:sz w:val="24"/>
          <w:szCs w:val="24"/>
          <w:rtl/>
        </w:rPr>
        <w:t xml:space="preserve"> 471 </w:t>
      </w:r>
      <w:r w:rsidRPr="00743D2A">
        <w:rPr>
          <w:rFonts w:hint="cs"/>
          <w:sz w:val="24"/>
          <w:szCs w:val="24"/>
          <w:rtl/>
        </w:rPr>
        <w:t>على</w:t>
      </w:r>
      <w:r w:rsidRPr="00743D2A">
        <w:rPr>
          <w:sz w:val="24"/>
          <w:szCs w:val="24"/>
          <w:rtl/>
        </w:rPr>
        <w:t xml:space="preserve"> </w:t>
      </w:r>
      <w:r w:rsidRPr="00743D2A">
        <w:rPr>
          <w:rFonts w:hint="cs"/>
          <w:sz w:val="24"/>
          <w:szCs w:val="24"/>
          <w:rtl/>
        </w:rPr>
        <w:t>تطبيق</w:t>
      </w:r>
      <w:r w:rsidRPr="00743D2A">
        <w:rPr>
          <w:sz w:val="24"/>
          <w:szCs w:val="24"/>
          <w:rtl/>
        </w:rPr>
        <w:t xml:space="preserve"> </w:t>
      </w:r>
      <w:r w:rsidRPr="00743D2A">
        <w:rPr>
          <w:rFonts w:hint="cs"/>
          <w:sz w:val="24"/>
          <w:szCs w:val="24"/>
          <w:rtl/>
        </w:rPr>
        <w:t>أحكام</w:t>
      </w:r>
      <w:r w:rsidRPr="00743D2A">
        <w:rPr>
          <w:sz w:val="24"/>
          <w:szCs w:val="24"/>
          <w:rtl/>
        </w:rPr>
        <w:t xml:space="preserve"> </w:t>
      </w:r>
      <w:r w:rsidRPr="00743D2A">
        <w:rPr>
          <w:rFonts w:hint="cs"/>
          <w:sz w:val="24"/>
          <w:szCs w:val="24"/>
          <w:rtl/>
        </w:rPr>
        <w:t>التبرع</w:t>
      </w:r>
      <w:r>
        <w:rPr>
          <w:rFonts w:hint="cs"/>
          <w:sz w:val="24"/>
          <w:szCs w:val="24"/>
          <w:rtl/>
        </w:rPr>
        <w:t xml:space="preserve"> </w:t>
      </w:r>
      <w:r w:rsidRPr="00743D2A">
        <w:rPr>
          <w:rFonts w:hint="cs"/>
          <w:sz w:val="24"/>
          <w:szCs w:val="24"/>
          <w:rtl/>
        </w:rPr>
        <w:t>الموضوعية</w:t>
      </w:r>
      <w:r w:rsidRPr="00743D2A">
        <w:rPr>
          <w:sz w:val="24"/>
          <w:szCs w:val="24"/>
          <w:rtl/>
        </w:rPr>
        <w:t xml:space="preserve"> </w:t>
      </w:r>
      <w:r w:rsidRPr="00743D2A">
        <w:rPr>
          <w:rFonts w:hint="cs"/>
          <w:sz w:val="24"/>
          <w:szCs w:val="24"/>
          <w:rtl/>
        </w:rPr>
        <w:t>كالأهلية</w:t>
      </w:r>
      <w:r w:rsidRPr="00743D2A">
        <w:rPr>
          <w:sz w:val="24"/>
          <w:szCs w:val="24"/>
          <w:rtl/>
        </w:rPr>
        <w:t xml:space="preserve"> </w:t>
      </w:r>
      <w:r w:rsidRPr="00743D2A">
        <w:rPr>
          <w:rFonts w:hint="cs"/>
          <w:sz w:val="24"/>
          <w:szCs w:val="24"/>
          <w:rtl/>
        </w:rPr>
        <w:t>فينبغي</w:t>
      </w:r>
      <w:r w:rsidRPr="00743D2A">
        <w:rPr>
          <w:sz w:val="24"/>
          <w:szCs w:val="24"/>
          <w:rtl/>
        </w:rPr>
        <w:t xml:space="preserve"> </w:t>
      </w:r>
      <w:r w:rsidRPr="00743D2A">
        <w:rPr>
          <w:rFonts w:hint="cs"/>
          <w:sz w:val="24"/>
          <w:szCs w:val="24"/>
          <w:rtl/>
        </w:rPr>
        <w:t>أن</w:t>
      </w:r>
      <w:r w:rsidRPr="00743D2A">
        <w:rPr>
          <w:sz w:val="24"/>
          <w:szCs w:val="24"/>
          <w:rtl/>
        </w:rPr>
        <w:t xml:space="preserve"> </w:t>
      </w:r>
      <w:r w:rsidRPr="00743D2A">
        <w:rPr>
          <w:rFonts w:hint="cs"/>
          <w:sz w:val="24"/>
          <w:szCs w:val="24"/>
          <w:rtl/>
        </w:rPr>
        <w:t>يكون</w:t>
      </w:r>
      <w:r w:rsidRPr="00743D2A">
        <w:rPr>
          <w:sz w:val="24"/>
          <w:szCs w:val="24"/>
          <w:rtl/>
        </w:rPr>
        <w:t xml:space="preserve"> </w:t>
      </w:r>
      <w:r w:rsidRPr="00743D2A">
        <w:rPr>
          <w:rFonts w:hint="cs"/>
          <w:sz w:val="24"/>
          <w:szCs w:val="24"/>
          <w:rtl/>
        </w:rPr>
        <w:t>المبرئ</w:t>
      </w:r>
      <w:r w:rsidRPr="00743D2A">
        <w:rPr>
          <w:sz w:val="24"/>
          <w:szCs w:val="24"/>
          <w:rtl/>
        </w:rPr>
        <w:t xml:space="preserve"> </w:t>
      </w:r>
      <w:r w:rsidRPr="00743D2A">
        <w:rPr>
          <w:rFonts w:hint="cs"/>
          <w:sz w:val="24"/>
          <w:szCs w:val="24"/>
          <w:rtl/>
        </w:rPr>
        <w:t>أهلاً</w:t>
      </w:r>
      <w:r w:rsidRPr="00743D2A">
        <w:rPr>
          <w:sz w:val="24"/>
          <w:szCs w:val="24"/>
          <w:rtl/>
        </w:rPr>
        <w:t xml:space="preserve"> </w:t>
      </w:r>
      <w:r w:rsidRPr="00743D2A">
        <w:rPr>
          <w:rFonts w:hint="cs"/>
          <w:sz w:val="24"/>
          <w:szCs w:val="24"/>
          <w:rtl/>
        </w:rPr>
        <w:t>للتبرع</w:t>
      </w:r>
      <w:r w:rsidRPr="00743D2A">
        <w:rPr>
          <w:sz w:val="24"/>
          <w:szCs w:val="24"/>
          <w:rtl/>
        </w:rPr>
        <w:t xml:space="preserve"> </w:t>
      </w:r>
      <w:r w:rsidRPr="00743D2A">
        <w:rPr>
          <w:rFonts w:hint="cs"/>
          <w:sz w:val="24"/>
          <w:szCs w:val="24"/>
          <w:rtl/>
        </w:rPr>
        <w:t>ومن</w:t>
      </w:r>
      <w:r w:rsidRPr="00743D2A">
        <w:rPr>
          <w:sz w:val="24"/>
          <w:szCs w:val="24"/>
          <w:rtl/>
        </w:rPr>
        <w:t xml:space="preserve"> </w:t>
      </w:r>
      <w:r w:rsidRPr="00743D2A">
        <w:rPr>
          <w:rFonts w:hint="cs"/>
          <w:sz w:val="24"/>
          <w:szCs w:val="24"/>
          <w:rtl/>
        </w:rPr>
        <w:t>ثم</w:t>
      </w:r>
      <w:r w:rsidRPr="00743D2A">
        <w:rPr>
          <w:sz w:val="24"/>
          <w:szCs w:val="24"/>
          <w:rtl/>
        </w:rPr>
        <w:t xml:space="preserve"> </w:t>
      </w:r>
      <w:r w:rsidRPr="00743D2A">
        <w:rPr>
          <w:rFonts w:hint="cs"/>
          <w:sz w:val="24"/>
          <w:szCs w:val="24"/>
          <w:rtl/>
        </w:rPr>
        <w:t>فلا</w:t>
      </w:r>
      <w:r w:rsidRPr="00743D2A">
        <w:rPr>
          <w:sz w:val="24"/>
          <w:szCs w:val="24"/>
          <w:rtl/>
        </w:rPr>
        <w:t xml:space="preserve"> </w:t>
      </w:r>
      <w:r w:rsidRPr="00743D2A">
        <w:rPr>
          <w:rFonts w:hint="cs"/>
          <w:sz w:val="24"/>
          <w:szCs w:val="24"/>
          <w:rtl/>
        </w:rPr>
        <w:t>يصح</w:t>
      </w:r>
      <w:r w:rsidRPr="00743D2A">
        <w:rPr>
          <w:sz w:val="24"/>
          <w:szCs w:val="24"/>
          <w:rtl/>
        </w:rPr>
        <w:t xml:space="preserve"> </w:t>
      </w:r>
      <w:r w:rsidRPr="00743D2A">
        <w:rPr>
          <w:rFonts w:hint="cs"/>
          <w:sz w:val="24"/>
          <w:szCs w:val="24"/>
          <w:rtl/>
        </w:rPr>
        <w:t>إبراء</w:t>
      </w:r>
      <w:r w:rsidRPr="00743D2A">
        <w:rPr>
          <w:sz w:val="24"/>
          <w:szCs w:val="24"/>
          <w:rtl/>
        </w:rPr>
        <w:t xml:space="preserve"> </w:t>
      </w:r>
      <w:r w:rsidRPr="00743D2A">
        <w:rPr>
          <w:rFonts w:hint="cs"/>
          <w:sz w:val="24"/>
          <w:szCs w:val="24"/>
          <w:rtl/>
        </w:rPr>
        <w:t>المجنون</w:t>
      </w:r>
      <w:r w:rsidRPr="00743D2A">
        <w:rPr>
          <w:sz w:val="24"/>
          <w:szCs w:val="24"/>
          <w:rtl/>
        </w:rPr>
        <w:t xml:space="preserve"> </w:t>
      </w:r>
      <w:r w:rsidRPr="00743D2A">
        <w:rPr>
          <w:rFonts w:hint="cs"/>
          <w:sz w:val="24"/>
          <w:szCs w:val="24"/>
          <w:rtl/>
        </w:rPr>
        <w:t>والمعتوه</w:t>
      </w:r>
      <w:r w:rsidRPr="00743D2A">
        <w:rPr>
          <w:sz w:val="24"/>
          <w:szCs w:val="24"/>
          <w:rtl/>
        </w:rPr>
        <w:t xml:space="preserve"> </w:t>
      </w:r>
      <w:r w:rsidRPr="00743D2A">
        <w:rPr>
          <w:rFonts w:hint="cs"/>
          <w:sz w:val="24"/>
          <w:szCs w:val="24"/>
          <w:rtl/>
        </w:rPr>
        <w:t>ولا</w:t>
      </w:r>
      <w:r w:rsidRPr="00743D2A">
        <w:rPr>
          <w:sz w:val="24"/>
          <w:szCs w:val="24"/>
          <w:rtl/>
        </w:rPr>
        <w:t xml:space="preserve"> </w:t>
      </w:r>
      <w:r w:rsidRPr="00743D2A">
        <w:rPr>
          <w:rFonts w:hint="cs"/>
          <w:sz w:val="24"/>
          <w:szCs w:val="24"/>
          <w:rtl/>
        </w:rPr>
        <w:t>إبراء</w:t>
      </w:r>
      <w:r w:rsidRPr="00743D2A">
        <w:rPr>
          <w:sz w:val="24"/>
          <w:szCs w:val="24"/>
          <w:rtl/>
        </w:rPr>
        <w:t xml:space="preserve"> </w:t>
      </w:r>
      <w:r w:rsidRPr="00743D2A">
        <w:rPr>
          <w:rFonts w:hint="cs"/>
          <w:sz w:val="24"/>
          <w:szCs w:val="24"/>
          <w:rtl/>
        </w:rPr>
        <w:t>الصغير</w:t>
      </w:r>
      <w:r w:rsidRPr="00743D2A">
        <w:rPr>
          <w:sz w:val="24"/>
          <w:szCs w:val="24"/>
          <w:rtl/>
        </w:rPr>
        <w:t xml:space="preserve"> </w:t>
      </w:r>
      <w:r w:rsidRPr="00743D2A">
        <w:rPr>
          <w:rFonts w:hint="cs"/>
          <w:sz w:val="24"/>
          <w:szCs w:val="24"/>
          <w:rtl/>
        </w:rPr>
        <w:t>مطلقاً</w:t>
      </w:r>
      <w:r w:rsidRPr="00743D2A">
        <w:rPr>
          <w:sz w:val="24"/>
          <w:szCs w:val="24"/>
          <w:rtl/>
        </w:rPr>
        <w:t xml:space="preserve"> ( </w:t>
      </w:r>
      <w:r w:rsidRPr="00743D2A">
        <w:rPr>
          <w:rFonts w:hint="cs"/>
          <w:sz w:val="24"/>
          <w:szCs w:val="24"/>
          <w:rtl/>
        </w:rPr>
        <w:t>م</w:t>
      </w:r>
      <w:r w:rsidRPr="00743D2A">
        <w:rPr>
          <w:sz w:val="24"/>
          <w:szCs w:val="24"/>
          <w:rtl/>
        </w:rPr>
        <w:t xml:space="preserve"> 154 </w:t>
      </w:r>
      <w:r w:rsidRPr="00743D2A">
        <w:rPr>
          <w:rFonts w:hint="cs"/>
          <w:sz w:val="24"/>
          <w:szCs w:val="24"/>
          <w:rtl/>
        </w:rPr>
        <w:t>من</w:t>
      </w:r>
      <w:r w:rsidRPr="00743D2A">
        <w:rPr>
          <w:sz w:val="24"/>
          <w:szCs w:val="24"/>
          <w:rtl/>
        </w:rPr>
        <w:t xml:space="preserve"> </w:t>
      </w:r>
      <w:r w:rsidRPr="00743D2A">
        <w:rPr>
          <w:rFonts w:hint="cs"/>
          <w:sz w:val="24"/>
          <w:szCs w:val="24"/>
          <w:rtl/>
        </w:rPr>
        <w:t>المجلة</w:t>
      </w:r>
      <w:r w:rsidRPr="00743D2A">
        <w:rPr>
          <w:sz w:val="24"/>
          <w:szCs w:val="24"/>
          <w:rtl/>
        </w:rPr>
        <w:t xml:space="preserve"> ) </w:t>
      </w:r>
      <w:r w:rsidRPr="00743D2A">
        <w:rPr>
          <w:rFonts w:hint="cs"/>
          <w:sz w:val="24"/>
          <w:szCs w:val="24"/>
          <w:rtl/>
        </w:rPr>
        <w:t>والمادة</w:t>
      </w:r>
      <w:r w:rsidRPr="00743D2A">
        <w:rPr>
          <w:sz w:val="24"/>
          <w:szCs w:val="24"/>
          <w:rtl/>
        </w:rPr>
        <w:t xml:space="preserve"> ( 230 ) </w:t>
      </w:r>
      <w:r w:rsidRPr="00743D2A">
        <w:rPr>
          <w:rFonts w:hint="cs"/>
          <w:sz w:val="24"/>
          <w:szCs w:val="24"/>
          <w:rtl/>
        </w:rPr>
        <w:t>من</w:t>
      </w:r>
      <w:r w:rsidRPr="00743D2A">
        <w:rPr>
          <w:sz w:val="24"/>
          <w:szCs w:val="24"/>
          <w:rtl/>
        </w:rPr>
        <w:t xml:space="preserve"> </w:t>
      </w:r>
      <w:r w:rsidRPr="00743D2A">
        <w:rPr>
          <w:rFonts w:hint="cs"/>
          <w:sz w:val="24"/>
          <w:szCs w:val="24"/>
          <w:rtl/>
        </w:rPr>
        <w:t>المرشد</w:t>
      </w:r>
      <w:r w:rsidRPr="00743D2A">
        <w:rPr>
          <w:sz w:val="24"/>
          <w:szCs w:val="24"/>
          <w:rtl/>
        </w:rPr>
        <w:t xml:space="preserve"> </w:t>
      </w:r>
      <w:r w:rsidRPr="00743D2A">
        <w:rPr>
          <w:rFonts w:hint="cs"/>
          <w:sz w:val="24"/>
          <w:szCs w:val="24"/>
          <w:rtl/>
        </w:rPr>
        <w:t>،</w:t>
      </w:r>
      <w:r w:rsidRPr="00743D2A">
        <w:rPr>
          <w:sz w:val="24"/>
          <w:szCs w:val="24"/>
          <w:rtl/>
        </w:rPr>
        <w:t xml:space="preserve"> </w:t>
      </w:r>
      <w:r w:rsidRPr="00743D2A">
        <w:rPr>
          <w:rFonts w:hint="cs"/>
          <w:sz w:val="24"/>
          <w:szCs w:val="24"/>
          <w:rtl/>
        </w:rPr>
        <w:t>فتصرفات</w:t>
      </w:r>
      <w:r w:rsidRPr="00743D2A">
        <w:rPr>
          <w:sz w:val="24"/>
          <w:szCs w:val="24"/>
          <w:rtl/>
        </w:rPr>
        <w:t xml:space="preserve"> </w:t>
      </w:r>
      <w:r w:rsidRPr="00743D2A">
        <w:rPr>
          <w:rFonts w:hint="cs"/>
          <w:sz w:val="24"/>
          <w:szCs w:val="24"/>
          <w:rtl/>
        </w:rPr>
        <w:t>الصغير</w:t>
      </w:r>
      <w:r w:rsidRPr="00743D2A">
        <w:rPr>
          <w:sz w:val="24"/>
          <w:szCs w:val="24"/>
          <w:rtl/>
        </w:rPr>
        <w:t xml:space="preserve"> </w:t>
      </w:r>
      <w:r w:rsidRPr="00743D2A">
        <w:rPr>
          <w:rFonts w:hint="cs"/>
          <w:sz w:val="24"/>
          <w:szCs w:val="24"/>
          <w:rtl/>
        </w:rPr>
        <w:t>غير</w:t>
      </w:r>
      <w:r w:rsidRPr="00743D2A">
        <w:rPr>
          <w:sz w:val="24"/>
          <w:szCs w:val="24"/>
          <w:rtl/>
        </w:rPr>
        <w:t xml:space="preserve"> </w:t>
      </w:r>
      <w:r w:rsidRPr="00743D2A">
        <w:rPr>
          <w:rFonts w:hint="cs"/>
          <w:sz w:val="24"/>
          <w:szCs w:val="24"/>
          <w:rtl/>
        </w:rPr>
        <w:t>المميز</w:t>
      </w:r>
      <w:r w:rsidRPr="00743D2A">
        <w:rPr>
          <w:sz w:val="24"/>
          <w:szCs w:val="24"/>
          <w:rtl/>
        </w:rPr>
        <w:t xml:space="preserve"> </w:t>
      </w:r>
      <w:r w:rsidRPr="00743D2A">
        <w:rPr>
          <w:rFonts w:hint="cs"/>
          <w:sz w:val="24"/>
          <w:szCs w:val="24"/>
          <w:rtl/>
        </w:rPr>
        <w:t>باطلة</w:t>
      </w:r>
      <w:r w:rsidRPr="00743D2A">
        <w:rPr>
          <w:sz w:val="24"/>
          <w:szCs w:val="24"/>
          <w:rtl/>
        </w:rPr>
        <w:t xml:space="preserve"> </w:t>
      </w:r>
      <w:r w:rsidRPr="00743D2A">
        <w:rPr>
          <w:rFonts w:hint="cs"/>
          <w:sz w:val="24"/>
          <w:szCs w:val="24"/>
          <w:rtl/>
        </w:rPr>
        <w:t>بطلاناً</w:t>
      </w:r>
      <w:r w:rsidRPr="00743D2A">
        <w:rPr>
          <w:sz w:val="24"/>
          <w:szCs w:val="24"/>
          <w:rtl/>
        </w:rPr>
        <w:t xml:space="preserve"> </w:t>
      </w:r>
      <w:r w:rsidRPr="00743D2A">
        <w:rPr>
          <w:rFonts w:hint="cs"/>
          <w:sz w:val="24"/>
          <w:szCs w:val="24"/>
          <w:rtl/>
        </w:rPr>
        <w:t>مطلقاً</w:t>
      </w:r>
      <w:r w:rsidRPr="00743D2A">
        <w:rPr>
          <w:sz w:val="24"/>
          <w:szCs w:val="24"/>
          <w:rtl/>
        </w:rPr>
        <w:t xml:space="preserve"> ( )</w:t>
      </w:r>
      <w:r w:rsidRPr="00743D2A">
        <w:rPr>
          <w:rFonts w:hint="cs"/>
          <w:sz w:val="24"/>
          <w:szCs w:val="24"/>
          <w:rtl/>
        </w:rPr>
        <w:t>،</w:t>
      </w:r>
      <w:r w:rsidRPr="00743D2A">
        <w:rPr>
          <w:sz w:val="24"/>
          <w:szCs w:val="24"/>
          <w:rtl/>
        </w:rPr>
        <w:t xml:space="preserve"> </w:t>
      </w:r>
      <w:r w:rsidRPr="00743D2A">
        <w:rPr>
          <w:rFonts w:hint="cs"/>
          <w:sz w:val="24"/>
          <w:szCs w:val="24"/>
          <w:rtl/>
        </w:rPr>
        <w:t>وليس</w:t>
      </w:r>
      <w:r w:rsidRPr="00743D2A">
        <w:rPr>
          <w:sz w:val="24"/>
          <w:szCs w:val="24"/>
          <w:rtl/>
        </w:rPr>
        <w:t xml:space="preserve"> </w:t>
      </w:r>
      <w:r w:rsidRPr="00743D2A">
        <w:rPr>
          <w:rFonts w:hint="cs"/>
          <w:sz w:val="24"/>
          <w:szCs w:val="24"/>
          <w:rtl/>
        </w:rPr>
        <w:t>للمريض</w:t>
      </w:r>
      <w:r w:rsidRPr="00743D2A">
        <w:rPr>
          <w:sz w:val="24"/>
          <w:szCs w:val="24"/>
          <w:rtl/>
        </w:rPr>
        <w:t xml:space="preserve"> </w:t>
      </w:r>
      <w:r w:rsidRPr="00743D2A">
        <w:rPr>
          <w:rFonts w:hint="cs"/>
          <w:sz w:val="24"/>
          <w:szCs w:val="24"/>
          <w:rtl/>
        </w:rPr>
        <w:t>مرض</w:t>
      </w:r>
      <w:r w:rsidRPr="00743D2A">
        <w:rPr>
          <w:sz w:val="24"/>
          <w:szCs w:val="24"/>
          <w:rtl/>
        </w:rPr>
        <w:t xml:space="preserve"> </w:t>
      </w:r>
      <w:r>
        <w:rPr>
          <w:rFonts w:hint="cs"/>
          <w:sz w:val="24"/>
          <w:szCs w:val="24"/>
          <w:rtl/>
        </w:rPr>
        <w:t>الموت</w:t>
      </w:r>
      <w:r w:rsidRPr="00743D2A">
        <w:rPr>
          <w:sz w:val="24"/>
          <w:szCs w:val="24"/>
          <w:rtl/>
        </w:rPr>
        <w:t xml:space="preserve"> </w:t>
      </w:r>
      <w:r>
        <w:rPr>
          <w:rFonts w:hint="cs"/>
          <w:sz w:val="24"/>
          <w:szCs w:val="24"/>
          <w:rtl/>
        </w:rPr>
        <w:t xml:space="preserve">حرية </w:t>
      </w:r>
      <w:r w:rsidRPr="00743D2A">
        <w:rPr>
          <w:rFonts w:hint="cs"/>
          <w:sz w:val="24"/>
          <w:szCs w:val="24"/>
          <w:rtl/>
        </w:rPr>
        <w:t>الإبراء</w:t>
      </w:r>
      <w:r w:rsidRPr="00743D2A">
        <w:rPr>
          <w:sz w:val="24"/>
          <w:szCs w:val="24"/>
          <w:rtl/>
        </w:rPr>
        <w:t xml:space="preserve"> </w:t>
      </w:r>
      <w:r w:rsidRPr="00743D2A">
        <w:rPr>
          <w:rFonts w:hint="cs"/>
          <w:sz w:val="24"/>
          <w:szCs w:val="24"/>
          <w:rtl/>
        </w:rPr>
        <w:t>فإذا</w:t>
      </w:r>
      <w:r w:rsidRPr="00743D2A">
        <w:rPr>
          <w:sz w:val="24"/>
          <w:szCs w:val="24"/>
          <w:rtl/>
        </w:rPr>
        <w:t xml:space="preserve"> </w:t>
      </w:r>
      <w:r w:rsidRPr="00743D2A">
        <w:rPr>
          <w:rFonts w:hint="cs"/>
          <w:sz w:val="24"/>
          <w:szCs w:val="24"/>
          <w:rtl/>
        </w:rPr>
        <w:t>كانت</w:t>
      </w:r>
      <w:r w:rsidRPr="00743D2A">
        <w:rPr>
          <w:sz w:val="24"/>
          <w:szCs w:val="24"/>
          <w:rtl/>
        </w:rPr>
        <w:t xml:space="preserve"> </w:t>
      </w:r>
      <w:r w:rsidRPr="00743D2A">
        <w:rPr>
          <w:rFonts w:hint="cs"/>
          <w:sz w:val="24"/>
          <w:szCs w:val="24"/>
          <w:rtl/>
        </w:rPr>
        <w:t>ديونه</w:t>
      </w:r>
      <w:r w:rsidRPr="00743D2A">
        <w:rPr>
          <w:sz w:val="24"/>
          <w:szCs w:val="24"/>
          <w:rtl/>
        </w:rPr>
        <w:t xml:space="preserve"> </w:t>
      </w:r>
      <w:r w:rsidRPr="00743D2A">
        <w:rPr>
          <w:rFonts w:hint="cs"/>
          <w:sz w:val="24"/>
          <w:szCs w:val="24"/>
          <w:rtl/>
        </w:rPr>
        <w:t>تستغرق</w:t>
      </w:r>
      <w:r w:rsidRPr="00743D2A">
        <w:rPr>
          <w:sz w:val="24"/>
          <w:szCs w:val="24"/>
          <w:rtl/>
        </w:rPr>
        <w:t xml:space="preserve"> </w:t>
      </w:r>
      <w:r w:rsidRPr="00743D2A">
        <w:rPr>
          <w:rFonts w:hint="cs"/>
          <w:sz w:val="24"/>
          <w:szCs w:val="24"/>
          <w:rtl/>
        </w:rPr>
        <w:t>أمواله</w:t>
      </w:r>
      <w:r w:rsidRPr="00743D2A">
        <w:rPr>
          <w:sz w:val="24"/>
          <w:szCs w:val="24"/>
          <w:rtl/>
        </w:rPr>
        <w:t xml:space="preserve"> </w:t>
      </w:r>
      <w:r w:rsidRPr="00743D2A">
        <w:rPr>
          <w:rFonts w:hint="cs"/>
          <w:sz w:val="24"/>
          <w:szCs w:val="24"/>
          <w:rtl/>
        </w:rPr>
        <w:t>فلا</w:t>
      </w:r>
      <w:r w:rsidRPr="00743D2A">
        <w:rPr>
          <w:sz w:val="24"/>
          <w:szCs w:val="24"/>
          <w:rtl/>
        </w:rPr>
        <w:t xml:space="preserve"> </w:t>
      </w:r>
      <w:r w:rsidRPr="00743D2A">
        <w:rPr>
          <w:rFonts w:hint="cs"/>
          <w:sz w:val="24"/>
          <w:szCs w:val="24"/>
          <w:rtl/>
        </w:rPr>
        <w:t>يصح</w:t>
      </w:r>
      <w:r w:rsidRPr="00743D2A">
        <w:rPr>
          <w:sz w:val="24"/>
          <w:szCs w:val="24"/>
          <w:rtl/>
        </w:rPr>
        <w:t xml:space="preserve"> </w:t>
      </w:r>
      <w:r w:rsidRPr="00743D2A">
        <w:rPr>
          <w:rFonts w:hint="cs"/>
          <w:sz w:val="24"/>
          <w:szCs w:val="24"/>
          <w:rtl/>
        </w:rPr>
        <w:t>إبراؤه</w:t>
      </w:r>
      <w:r w:rsidRPr="00743D2A">
        <w:rPr>
          <w:sz w:val="24"/>
          <w:szCs w:val="24"/>
          <w:rtl/>
        </w:rPr>
        <w:t xml:space="preserve"> </w:t>
      </w:r>
      <w:r w:rsidRPr="00743D2A">
        <w:rPr>
          <w:rFonts w:hint="cs"/>
          <w:sz w:val="24"/>
          <w:szCs w:val="24"/>
          <w:rtl/>
        </w:rPr>
        <w:t>وإذا</w:t>
      </w:r>
      <w:r w:rsidRPr="00743D2A">
        <w:rPr>
          <w:sz w:val="24"/>
          <w:szCs w:val="24"/>
          <w:rtl/>
        </w:rPr>
        <w:t xml:space="preserve"> </w:t>
      </w:r>
      <w:r w:rsidRPr="00743D2A">
        <w:rPr>
          <w:rFonts w:hint="cs"/>
          <w:sz w:val="24"/>
          <w:szCs w:val="24"/>
          <w:rtl/>
        </w:rPr>
        <w:t>لم</w:t>
      </w:r>
      <w:r w:rsidRPr="00743D2A">
        <w:rPr>
          <w:sz w:val="24"/>
          <w:szCs w:val="24"/>
          <w:rtl/>
        </w:rPr>
        <w:t xml:space="preserve"> </w:t>
      </w:r>
      <w:r w:rsidRPr="00743D2A">
        <w:rPr>
          <w:rFonts w:hint="cs"/>
          <w:sz w:val="24"/>
          <w:szCs w:val="24"/>
          <w:rtl/>
        </w:rPr>
        <w:t>تستغرق</w:t>
      </w:r>
      <w:r w:rsidRPr="00743D2A">
        <w:rPr>
          <w:sz w:val="24"/>
          <w:szCs w:val="24"/>
          <w:rtl/>
        </w:rPr>
        <w:t xml:space="preserve"> </w:t>
      </w:r>
      <w:r w:rsidRPr="00743D2A">
        <w:rPr>
          <w:rFonts w:hint="cs"/>
          <w:sz w:val="24"/>
          <w:szCs w:val="24"/>
          <w:rtl/>
        </w:rPr>
        <w:t>ديونه</w:t>
      </w:r>
      <w:r w:rsidRPr="00743D2A">
        <w:rPr>
          <w:sz w:val="24"/>
          <w:szCs w:val="24"/>
          <w:rtl/>
        </w:rPr>
        <w:t xml:space="preserve"> </w:t>
      </w:r>
      <w:r w:rsidRPr="00743D2A">
        <w:rPr>
          <w:rFonts w:hint="cs"/>
          <w:sz w:val="24"/>
          <w:szCs w:val="24"/>
          <w:rtl/>
        </w:rPr>
        <w:t>جميع</w:t>
      </w:r>
      <w:r w:rsidRPr="00743D2A">
        <w:rPr>
          <w:sz w:val="24"/>
          <w:szCs w:val="24"/>
          <w:rtl/>
        </w:rPr>
        <w:t xml:space="preserve"> </w:t>
      </w:r>
      <w:r w:rsidRPr="00743D2A">
        <w:rPr>
          <w:rFonts w:hint="cs"/>
          <w:sz w:val="24"/>
          <w:szCs w:val="24"/>
          <w:rtl/>
        </w:rPr>
        <w:t>أمواله</w:t>
      </w:r>
      <w:r w:rsidRPr="00743D2A">
        <w:rPr>
          <w:sz w:val="24"/>
          <w:szCs w:val="24"/>
          <w:rtl/>
        </w:rPr>
        <w:t xml:space="preserve"> </w:t>
      </w:r>
      <w:r w:rsidRPr="00743D2A">
        <w:rPr>
          <w:rFonts w:hint="cs"/>
          <w:sz w:val="24"/>
          <w:szCs w:val="24"/>
          <w:rtl/>
        </w:rPr>
        <w:t>فان</w:t>
      </w:r>
      <w:r w:rsidRPr="00743D2A">
        <w:rPr>
          <w:sz w:val="24"/>
          <w:szCs w:val="24"/>
          <w:rtl/>
        </w:rPr>
        <w:t xml:space="preserve"> </w:t>
      </w:r>
      <w:r w:rsidRPr="00743D2A">
        <w:rPr>
          <w:rFonts w:hint="cs"/>
          <w:sz w:val="24"/>
          <w:szCs w:val="24"/>
          <w:rtl/>
        </w:rPr>
        <w:t>إبرا</w:t>
      </w:r>
      <w:r>
        <w:rPr>
          <w:rFonts w:hint="cs"/>
          <w:sz w:val="24"/>
          <w:szCs w:val="24"/>
          <w:rtl/>
        </w:rPr>
        <w:t>ء</w:t>
      </w:r>
      <w:r w:rsidRPr="00743D2A">
        <w:rPr>
          <w:rFonts w:hint="cs"/>
          <w:sz w:val="24"/>
          <w:szCs w:val="24"/>
          <w:rtl/>
        </w:rPr>
        <w:t>ه</w:t>
      </w:r>
      <w:r w:rsidRPr="00743D2A">
        <w:rPr>
          <w:sz w:val="24"/>
          <w:szCs w:val="24"/>
          <w:rtl/>
        </w:rPr>
        <w:t xml:space="preserve"> </w:t>
      </w:r>
      <w:r w:rsidRPr="00743D2A">
        <w:rPr>
          <w:rFonts w:hint="cs"/>
          <w:sz w:val="24"/>
          <w:szCs w:val="24"/>
          <w:rtl/>
        </w:rPr>
        <w:t>من</w:t>
      </w:r>
      <w:r w:rsidRPr="00743D2A">
        <w:rPr>
          <w:sz w:val="24"/>
          <w:szCs w:val="24"/>
          <w:rtl/>
        </w:rPr>
        <w:t xml:space="preserve"> </w:t>
      </w:r>
      <w:r w:rsidRPr="00743D2A">
        <w:rPr>
          <w:rFonts w:hint="cs"/>
          <w:sz w:val="24"/>
          <w:szCs w:val="24"/>
          <w:rtl/>
        </w:rPr>
        <w:t>دين</w:t>
      </w:r>
      <w:r w:rsidRPr="00743D2A">
        <w:rPr>
          <w:sz w:val="24"/>
          <w:szCs w:val="24"/>
          <w:rtl/>
        </w:rPr>
        <w:t xml:space="preserve"> </w:t>
      </w:r>
      <w:r w:rsidRPr="00743D2A">
        <w:rPr>
          <w:rFonts w:hint="cs"/>
          <w:sz w:val="24"/>
          <w:szCs w:val="24"/>
          <w:rtl/>
        </w:rPr>
        <w:t>أحد</w:t>
      </w:r>
      <w:r w:rsidRPr="00743D2A">
        <w:rPr>
          <w:sz w:val="24"/>
          <w:szCs w:val="24"/>
          <w:rtl/>
        </w:rPr>
        <w:t xml:space="preserve"> </w:t>
      </w:r>
      <w:r w:rsidRPr="00743D2A">
        <w:rPr>
          <w:rFonts w:hint="cs"/>
          <w:sz w:val="24"/>
          <w:szCs w:val="24"/>
          <w:rtl/>
        </w:rPr>
        <w:t>ورثته</w:t>
      </w:r>
      <w:r w:rsidRPr="00743D2A">
        <w:rPr>
          <w:sz w:val="24"/>
          <w:szCs w:val="24"/>
          <w:rtl/>
        </w:rPr>
        <w:t xml:space="preserve"> </w:t>
      </w:r>
      <w:r w:rsidRPr="00743D2A">
        <w:rPr>
          <w:rFonts w:hint="cs"/>
          <w:sz w:val="24"/>
          <w:szCs w:val="24"/>
          <w:rtl/>
        </w:rPr>
        <w:t>لا</w:t>
      </w:r>
      <w:r w:rsidRPr="00743D2A">
        <w:rPr>
          <w:sz w:val="24"/>
          <w:szCs w:val="24"/>
          <w:rtl/>
        </w:rPr>
        <w:t xml:space="preserve"> </w:t>
      </w:r>
      <w:r w:rsidRPr="00743D2A">
        <w:rPr>
          <w:rFonts w:hint="cs"/>
          <w:sz w:val="24"/>
          <w:szCs w:val="24"/>
          <w:rtl/>
        </w:rPr>
        <w:t>يصح</w:t>
      </w:r>
      <w:r w:rsidRPr="00743D2A">
        <w:rPr>
          <w:sz w:val="24"/>
          <w:szCs w:val="24"/>
          <w:rtl/>
        </w:rPr>
        <w:t xml:space="preserve"> </w:t>
      </w:r>
      <w:r w:rsidRPr="00743D2A">
        <w:rPr>
          <w:rFonts w:hint="cs"/>
          <w:sz w:val="24"/>
          <w:szCs w:val="24"/>
          <w:rtl/>
        </w:rPr>
        <w:t>إلا</w:t>
      </w:r>
      <w:r w:rsidRPr="00743D2A">
        <w:rPr>
          <w:sz w:val="24"/>
          <w:szCs w:val="24"/>
          <w:rtl/>
        </w:rPr>
        <w:t xml:space="preserve"> </w:t>
      </w:r>
      <w:r w:rsidRPr="00743D2A">
        <w:rPr>
          <w:rFonts w:hint="cs"/>
          <w:sz w:val="24"/>
          <w:szCs w:val="24"/>
          <w:rtl/>
        </w:rPr>
        <w:t>بإجازة</w:t>
      </w:r>
      <w:r w:rsidRPr="00743D2A">
        <w:rPr>
          <w:sz w:val="24"/>
          <w:szCs w:val="24"/>
          <w:rtl/>
        </w:rPr>
        <w:t xml:space="preserve"> </w:t>
      </w:r>
      <w:r w:rsidRPr="00743D2A">
        <w:rPr>
          <w:rFonts w:hint="cs"/>
          <w:sz w:val="24"/>
          <w:szCs w:val="24"/>
          <w:rtl/>
        </w:rPr>
        <w:t>الباقين</w:t>
      </w:r>
      <w:r w:rsidRPr="00743D2A">
        <w:rPr>
          <w:sz w:val="24"/>
          <w:szCs w:val="24"/>
          <w:rtl/>
        </w:rPr>
        <w:t xml:space="preserve"> </w:t>
      </w:r>
      <w:r w:rsidRPr="00743D2A">
        <w:rPr>
          <w:rFonts w:hint="cs"/>
          <w:sz w:val="24"/>
          <w:szCs w:val="24"/>
          <w:rtl/>
        </w:rPr>
        <w:t>وإبراؤه</w:t>
      </w:r>
      <w:r w:rsidRPr="00743D2A">
        <w:rPr>
          <w:sz w:val="24"/>
          <w:szCs w:val="24"/>
          <w:rtl/>
        </w:rPr>
        <w:t xml:space="preserve"> </w:t>
      </w:r>
      <w:r w:rsidRPr="00743D2A">
        <w:rPr>
          <w:rFonts w:hint="cs"/>
          <w:sz w:val="24"/>
          <w:szCs w:val="24"/>
          <w:rtl/>
        </w:rPr>
        <w:t>من</w:t>
      </w:r>
      <w:r w:rsidRPr="00743D2A">
        <w:rPr>
          <w:sz w:val="24"/>
          <w:szCs w:val="24"/>
          <w:rtl/>
        </w:rPr>
        <w:t xml:space="preserve"> </w:t>
      </w:r>
      <w:r w:rsidRPr="00743D2A">
        <w:rPr>
          <w:rFonts w:hint="cs"/>
          <w:sz w:val="24"/>
          <w:szCs w:val="24"/>
          <w:rtl/>
        </w:rPr>
        <w:t>دين</w:t>
      </w:r>
      <w:r w:rsidRPr="00743D2A">
        <w:rPr>
          <w:sz w:val="24"/>
          <w:szCs w:val="24"/>
          <w:rtl/>
        </w:rPr>
        <w:t xml:space="preserve"> </w:t>
      </w:r>
      <w:r w:rsidRPr="00743D2A">
        <w:rPr>
          <w:rFonts w:hint="cs"/>
          <w:sz w:val="24"/>
          <w:szCs w:val="24"/>
          <w:rtl/>
        </w:rPr>
        <w:t>الأجنبي</w:t>
      </w:r>
      <w:r w:rsidRPr="00743D2A">
        <w:rPr>
          <w:sz w:val="24"/>
          <w:szCs w:val="24"/>
          <w:rtl/>
        </w:rPr>
        <w:t xml:space="preserve"> </w:t>
      </w:r>
      <w:r w:rsidRPr="00743D2A">
        <w:rPr>
          <w:rFonts w:hint="cs"/>
          <w:sz w:val="24"/>
          <w:szCs w:val="24"/>
          <w:rtl/>
        </w:rPr>
        <w:t>لا</w:t>
      </w:r>
      <w:r w:rsidRPr="00743D2A">
        <w:rPr>
          <w:sz w:val="24"/>
          <w:szCs w:val="24"/>
          <w:rtl/>
        </w:rPr>
        <w:t xml:space="preserve"> </w:t>
      </w:r>
      <w:r w:rsidRPr="00743D2A">
        <w:rPr>
          <w:rFonts w:hint="cs"/>
          <w:sz w:val="24"/>
          <w:szCs w:val="24"/>
          <w:rtl/>
        </w:rPr>
        <w:t>يصح</w:t>
      </w:r>
      <w:r w:rsidRPr="00743D2A">
        <w:rPr>
          <w:sz w:val="24"/>
          <w:szCs w:val="24"/>
          <w:rtl/>
        </w:rPr>
        <w:t xml:space="preserve"> </w:t>
      </w:r>
      <w:r w:rsidRPr="00743D2A">
        <w:rPr>
          <w:rFonts w:hint="cs"/>
          <w:sz w:val="24"/>
          <w:szCs w:val="24"/>
          <w:rtl/>
        </w:rPr>
        <w:t>إلا</w:t>
      </w:r>
      <w:r w:rsidRPr="00743D2A">
        <w:rPr>
          <w:sz w:val="24"/>
          <w:szCs w:val="24"/>
          <w:rtl/>
        </w:rPr>
        <w:t xml:space="preserve"> </w:t>
      </w:r>
      <w:r w:rsidRPr="00743D2A">
        <w:rPr>
          <w:rFonts w:hint="cs"/>
          <w:sz w:val="24"/>
          <w:szCs w:val="24"/>
          <w:rtl/>
        </w:rPr>
        <w:t>من</w:t>
      </w:r>
      <w:r w:rsidRPr="00743D2A">
        <w:rPr>
          <w:sz w:val="24"/>
          <w:szCs w:val="24"/>
          <w:rtl/>
        </w:rPr>
        <w:t xml:space="preserve"> </w:t>
      </w:r>
      <w:r w:rsidRPr="00743D2A">
        <w:rPr>
          <w:rFonts w:hint="cs"/>
          <w:sz w:val="24"/>
          <w:szCs w:val="24"/>
          <w:rtl/>
        </w:rPr>
        <w:t>ثلث</w:t>
      </w:r>
      <w:r w:rsidRPr="00743D2A">
        <w:rPr>
          <w:sz w:val="24"/>
          <w:szCs w:val="24"/>
          <w:rtl/>
        </w:rPr>
        <w:t xml:space="preserve"> </w:t>
      </w:r>
      <w:r w:rsidRPr="00743D2A">
        <w:rPr>
          <w:rFonts w:hint="cs"/>
          <w:sz w:val="24"/>
          <w:szCs w:val="24"/>
          <w:rtl/>
        </w:rPr>
        <w:t>التركة</w:t>
      </w:r>
      <w:r w:rsidRPr="00743D2A">
        <w:rPr>
          <w:sz w:val="24"/>
          <w:szCs w:val="24"/>
          <w:rtl/>
        </w:rPr>
        <w:t xml:space="preserve"> ( </w:t>
      </w:r>
      <w:r w:rsidRPr="00743D2A">
        <w:rPr>
          <w:rFonts w:hint="cs"/>
          <w:sz w:val="24"/>
          <w:szCs w:val="24"/>
          <w:rtl/>
        </w:rPr>
        <w:t>م</w:t>
      </w:r>
      <w:r w:rsidRPr="00743D2A">
        <w:rPr>
          <w:sz w:val="24"/>
          <w:szCs w:val="24"/>
          <w:rtl/>
        </w:rPr>
        <w:t xml:space="preserve"> 1570 </w:t>
      </w:r>
      <w:r w:rsidRPr="00743D2A">
        <w:rPr>
          <w:rFonts w:hint="cs"/>
          <w:sz w:val="24"/>
          <w:szCs w:val="24"/>
          <w:rtl/>
        </w:rPr>
        <w:t>و</w:t>
      </w:r>
      <w:r w:rsidRPr="00743D2A">
        <w:rPr>
          <w:sz w:val="24"/>
          <w:szCs w:val="24"/>
          <w:rtl/>
        </w:rPr>
        <w:t xml:space="preserve"> 1571 </w:t>
      </w:r>
      <w:r w:rsidRPr="00743D2A">
        <w:rPr>
          <w:rFonts w:hint="cs"/>
          <w:sz w:val="24"/>
          <w:szCs w:val="24"/>
          <w:rtl/>
        </w:rPr>
        <w:t>من</w:t>
      </w:r>
      <w:r w:rsidRPr="00743D2A">
        <w:rPr>
          <w:sz w:val="24"/>
          <w:szCs w:val="24"/>
          <w:rtl/>
        </w:rPr>
        <w:t xml:space="preserve"> </w:t>
      </w:r>
      <w:r w:rsidRPr="00743D2A">
        <w:rPr>
          <w:rFonts w:hint="cs"/>
          <w:sz w:val="24"/>
          <w:szCs w:val="24"/>
          <w:rtl/>
        </w:rPr>
        <w:t>المجلة</w:t>
      </w:r>
      <w:r w:rsidRPr="00743D2A">
        <w:rPr>
          <w:sz w:val="24"/>
          <w:szCs w:val="24"/>
          <w:rtl/>
        </w:rPr>
        <w:t xml:space="preserve"> ) . </w:t>
      </w:r>
      <w:r w:rsidRPr="00743D2A">
        <w:rPr>
          <w:rFonts w:hint="cs"/>
          <w:sz w:val="24"/>
          <w:szCs w:val="24"/>
          <w:rtl/>
        </w:rPr>
        <w:t>المذكرة</w:t>
      </w:r>
      <w:r w:rsidRPr="00743D2A">
        <w:rPr>
          <w:sz w:val="24"/>
          <w:szCs w:val="24"/>
          <w:rtl/>
        </w:rPr>
        <w:t xml:space="preserve"> </w:t>
      </w:r>
      <w:r w:rsidRPr="00743D2A">
        <w:rPr>
          <w:rFonts w:hint="cs"/>
          <w:sz w:val="24"/>
          <w:szCs w:val="24"/>
          <w:rtl/>
        </w:rPr>
        <w:t>الإيضاحية</w:t>
      </w:r>
      <w:r w:rsidRPr="00743D2A">
        <w:rPr>
          <w:sz w:val="24"/>
          <w:szCs w:val="24"/>
          <w:rtl/>
        </w:rPr>
        <w:t xml:space="preserve"> </w:t>
      </w:r>
      <w:r w:rsidRPr="00743D2A">
        <w:rPr>
          <w:rFonts w:hint="cs"/>
          <w:sz w:val="24"/>
          <w:szCs w:val="24"/>
          <w:rtl/>
        </w:rPr>
        <w:t>لقانون</w:t>
      </w:r>
      <w:r w:rsidRPr="00743D2A">
        <w:rPr>
          <w:sz w:val="24"/>
          <w:szCs w:val="24"/>
          <w:rtl/>
        </w:rPr>
        <w:t xml:space="preserve"> </w:t>
      </w:r>
      <w:r w:rsidRPr="00743D2A">
        <w:rPr>
          <w:rFonts w:hint="cs"/>
          <w:sz w:val="24"/>
          <w:szCs w:val="24"/>
          <w:rtl/>
        </w:rPr>
        <w:t>المعاملات</w:t>
      </w:r>
      <w:r w:rsidRPr="00743D2A">
        <w:rPr>
          <w:sz w:val="24"/>
          <w:szCs w:val="24"/>
          <w:rtl/>
        </w:rPr>
        <w:t xml:space="preserve"> </w:t>
      </w:r>
      <w:r w:rsidRPr="00743D2A">
        <w:rPr>
          <w:rFonts w:hint="cs"/>
          <w:sz w:val="24"/>
          <w:szCs w:val="24"/>
          <w:rtl/>
        </w:rPr>
        <w:t>المدنية</w:t>
      </w:r>
      <w:r w:rsidRPr="00743D2A">
        <w:rPr>
          <w:sz w:val="24"/>
          <w:szCs w:val="24"/>
          <w:rtl/>
        </w:rPr>
        <w:t xml:space="preserve">  - </w:t>
      </w:r>
      <w:r w:rsidRPr="00743D2A">
        <w:rPr>
          <w:rFonts w:hint="cs"/>
          <w:sz w:val="24"/>
          <w:szCs w:val="24"/>
          <w:rtl/>
        </w:rPr>
        <w:t>المرجع</w:t>
      </w:r>
      <w:r w:rsidRPr="00743D2A">
        <w:rPr>
          <w:sz w:val="24"/>
          <w:szCs w:val="24"/>
          <w:rtl/>
        </w:rPr>
        <w:t xml:space="preserve"> </w:t>
      </w:r>
      <w:r w:rsidRPr="00743D2A">
        <w:rPr>
          <w:rFonts w:hint="cs"/>
          <w:sz w:val="24"/>
          <w:szCs w:val="24"/>
          <w:rtl/>
        </w:rPr>
        <w:t>السابق</w:t>
      </w:r>
      <w:r w:rsidRPr="00743D2A">
        <w:rPr>
          <w:sz w:val="24"/>
          <w:szCs w:val="24"/>
          <w:rtl/>
        </w:rPr>
        <w:t xml:space="preserve"> – </w:t>
      </w:r>
      <w:r w:rsidRPr="00743D2A">
        <w:rPr>
          <w:rFonts w:hint="cs"/>
          <w:sz w:val="24"/>
          <w:szCs w:val="24"/>
          <w:rtl/>
        </w:rPr>
        <w:t>ص</w:t>
      </w:r>
      <w:r w:rsidRPr="00743D2A">
        <w:rPr>
          <w:sz w:val="24"/>
          <w:szCs w:val="24"/>
          <w:rtl/>
        </w:rPr>
        <w:t xml:space="preserve"> 467 .   </w:t>
      </w:r>
    </w:p>
    <w:p w14:paraId="7C5FA01D" w14:textId="77777777" w:rsidR="00BC076D" w:rsidRDefault="00BC076D" w:rsidP="00BC076D">
      <w:pPr>
        <w:pStyle w:val="FootnoteText"/>
        <w:jc w:val="both"/>
        <w:rPr>
          <w:sz w:val="24"/>
          <w:szCs w:val="24"/>
          <w:rtl/>
        </w:rPr>
      </w:pPr>
    </w:p>
    <w:p w14:paraId="2095E09F" w14:textId="77777777" w:rsidR="00BC076D" w:rsidRDefault="00BC076D" w:rsidP="00BC076D">
      <w:pPr>
        <w:pStyle w:val="FootnoteText"/>
        <w:jc w:val="both"/>
        <w:rPr>
          <w:sz w:val="24"/>
          <w:szCs w:val="24"/>
          <w:rtl/>
        </w:rPr>
      </w:pPr>
    </w:p>
    <w:p w14:paraId="40E1D047" w14:textId="77777777" w:rsidR="00BC076D" w:rsidRDefault="00BC076D" w:rsidP="00BC076D">
      <w:pPr>
        <w:pStyle w:val="FootnoteText"/>
        <w:jc w:val="both"/>
        <w:rPr>
          <w:sz w:val="24"/>
          <w:szCs w:val="24"/>
          <w:rtl/>
        </w:rPr>
      </w:pPr>
    </w:p>
    <w:p w14:paraId="487681BF" w14:textId="77777777" w:rsidR="00BC076D" w:rsidRDefault="00BC076D" w:rsidP="00BC076D">
      <w:pPr>
        <w:pStyle w:val="FootnoteText"/>
        <w:jc w:val="both"/>
        <w:rPr>
          <w:sz w:val="24"/>
          <w:szCs w:val="24"/>
          <w:rtl/>
        </w:rPr>
      </w:pPr>
    </w:p>
    <w:p w14:paraId="41B84880" w14:textId="77777777" w:rsidR="00BC076D" w:rsidRDefault="00BC076D" w:rsidP="00BC076D">
      <w:pPr>
        <w:pStyle w:val="FootnoteText"/>
        <w:jc w:val="both"/>
        <w:rPr>
          <w:sz w:val="24"/>
          <w:szCs w:val="24"/>
          <w:rtl/>
        </w:rPr>
      </w:pPr>
    </w:p>
    <w:p w14:paraId="18436E92" w14:textId="77777777" w:rsidR="00BC076D" w:rsidRDefault="00BC076D" w:rsidP="00BC076D">
      <w:pPr>
        <w:pStyle w:val="FootnoteText"/>
        <w:jc w:val="both"/>
        <w:rPr>
          <w:sz w:val="24"/>
          <w:szCs w:val="24"/>
          <w:rtl/>
        </w:rPr>
      </w:pPr>
    </w:p>
    <w:p w14:paraId="009EB251" w14:textId="77777777" w:rsidR="00BC076D" w:rsidRDefault="00BC076D" w:rsidP="00BC076D">
      <w:pPr>
        <w:pStyle w:val="FootnoteText"/>
        <w:jc w:val="both"/>
        <w:rPr>
          <w:sz w:val="24"/>
          <w:szCs w:val="24"/>
          <w:rtl/>
        </w:rPr>
      </w:pPr>
    </w:p>
    <w:p w14:paraId="18785E86" w14:textId="77777777" w:rsidR="00BC076D" w:rsidRDefault="00BC076D" w:rsidP="00BC076D">
      <w:pPr>
        <w:pStyle w:val="FootnoteText"/>
        <w:jc w:val="both"/>
        <w:rPr>
          <w:sz w:val="24"/>
          <w:szCs w:val="24"/>
          <w:rtl/>
        </w:rPr>
      </w:pPr>
    </w:p>
    <w:p w14:paraId="0A315F18" w14:textId="77777777" w:rsidR="00BC076D" w:rsidRDefault="00BC076D" w:rsidP="00BC076D">
      <w:pPr>
        <w:pStyle w:val="FootnoteText"/>
        <w:jc w:val="both"/>
        <w:rPr>
          <w:sz w:val="24"/>
          <w:szCs w:val="24"/>
          <w:rtl/>
        </w:rPr>
      </w:pPr>
    </w:p>
    <w:p w14:paraId="30A45D89" w14:textId="77777777" w:rsidR="00BC076D" w:rsidRDefault="00BC076D" w:rsidP="00BC076D">
      <w:pPr>
        <w:pStyle w:val="FootnoteText"/>
        <w:jc w:val="both"/>
        <w:rPr>
          <w:sz w:val="24"/>
          <w:szCs w:val="24"/>
          <w:rtl/>
        </w:rPr>
      </w:pPr>
    </w:p>
    <w:p w14:paraId="54FC2FE4" w14:textId="77777777" w:rsidR="00BC076D" w:rsidRDefault="00BC076D" w:rsidP="00BC076D">
      <w:pPr>
        <w:pStyle w:val="FootnoteText"/>
        <w:jc w:val="both"/>
        <w:rPr>
          <w:sz w:val="24"/>
          <w:szCs w:val="24"/>
          <w:rtl/>
        </w:rPr>
      </w:pPr>
    </w:p>
    <w:p w14:paraId="6EC63575" w14:textId="77777777" w:rsidR="00BC076D" w:rsidRDefault="00BC076D" w:rsidP="00BC076D">
      <w:pPr>
        <w:pStyle w:val="FootnoteText"/>
        <w:jc w:val="both"/>
        <w:rPr>
          <w:sz w:val="24"/>
          <w:szCs w:val="24"/>
          <w:rtl/>
        </w:rPr>
      </w:pPr>
    </w:p>
    <w:p w14:paraId="52814C81" w14:textId="53679E00" w:rsidR="00BC076D" w:rsidRPr="00743D2A" w:rsidRDefault="00BC076D" w:rsidP="00BC076D">
      <w:pPr>
        <w:pStyle w:val="FootnoteText"/>
        <w:jc w:val="center"/>
        <w:rPr>
          <w:sz w:val="24"/>
          <w:szCs w:val="24"/>
        </w:rPr>
      </w:pPr>
      <w:r>
        <w:rPr>
          <w:rFonts w:hint="cs"/>
          <w:sz w:val="24"/>
          <w:szCs w:val="24"/>
          <w:rtl/>
        </w:rPr>
        <w:t>116</w:t>
      </w:r>
    </w:p>
  </w:footnote>
  <w:footnote w:id="9">
    <w:p w14:paraId="11D354D7" w14:textId="77777777" w:rsidR="00BC076D" w:rsidRPr="00743D2A" w:rsidRDefault="00BC076D" w:rsidP="00BC076D">
      <w:pPr>
        <w:pStyle w:val="FootnoteText"/>
        <w:jc w:val="both"/>
        <w:rPr>
          <w:rFonts w:ascii="Simplified Arabic" w:hAnsi="Simplified Arabic"/>
          <w:sz w:val="24"/>
          <w:szCs w:val="24"/>
        </w:rPr>
      </w:pPr>
      <w:r w:rsidRPr="00C669D3">
        <w:rPr>
          <w:rStyle w:val="FootnoteReference"/>
          <w:rFonts w:ascii="Simplified Arabic" w:hAnsi="Simplified Arabic"/>
          <w:sz w:val="24"/>
          <w:szCs w:val="24"/>
        </w:rPr>
        <w:footnoteRef/>
      </w:r>
      <w:r w:rsidRPr="00C669D3">
        <w:rPr>
          <w:rFonts w:ascii="Simplified Arabic" w:hAnsi="Simplified Arabic"/>
          <w:sz w:val="24"/>
          <w:szCs w:val="24"/>
          <w:rtl/>
        </w:rPr>
        <w:t xml:space="preserve"> </w:t>
      </w:r>
      <w:r w:rsidRPr="00C669D3">
        <w:rPr>
          <w:rFonts w:ascii="Simplified Arabic" w:hAnsi="Simplified Arabic"/>
          <w:sz w:val="24"/>
          <w:szCs w:val="24"/>
          <w:rtl/>
        </w:rPr>
        <w:t>) نقض مصري - مدني - الطعن رقم 438  لسنة 29 قضائية - تاريخ الجلسة</w:t>
      </w:r>
      <w:r w:rsidRPr="00C669D3">
        <w:rPr>
          <w:rFonts w:ascii="Simplified Arabic" w:hAnsi="Simplified Arabic" w:hint="cs"/>
          <w:sz w:val="24"/>
          <w:szCs w:val="24"/>
          <w:rtl/>
        </w:rPr>
        <w:t xml:space="preserve">  </w:t>
      </w:r>
      <w:r w:rsidRPr="00C669D3">
        <w:rPr>
          <w:rFonts w:ascii="Simplified Arabic" w:hAnsi="Simplified Arabic"/>
          <w:sz w:val="24"/>
          <w:szCs w:val="24"/>
          <w:rtl/>
        </w:rPr>
        <w:t xml:space="preserve"> 28/5/1964 </w:t>
      </w:r>
      <w:r>
        <w:rPr>
          <w:rFonts w:ascii="Simplified Arabic" w:hAnsi="Simplified Arabic" w:hint="cs"/>
          <w:sz w:val="24"/>
          <w:szCs w:val="24"/>
          <w:rtl/>
        </w:rPr>
        <w:t>-</w:t>
      </w:r>
      <w:r w:rsidRPr="00C669D3">
        <w:rPr>
          <w:rFonts w:ascii="Simplified Arabic" w:hAnsi="Simplified Arabic"/>
          <w:sz w:val="24"/>
          <w:szCs w:val="24"/>
          <w:rtl/>
        </w:rPr>
        <w:t xml:space="preserve"> س 15 </w:t>
      </w:r>
      <w:r>
        <w:rPr>
          <w:rFonts w:ascii="Simplified Arabic" w:hAnsi="Simplified Arabic" w:hint="cs"/>
          <w:sz w:val="24"/>
          <w:szCs w:val="24"/>
          <w:rtl/>
        </w:rPr>
        <w:t xml:space="preserve">- </w:t>
      </w:r>
      <w:r w:rsidRPr="00C669D3">
        <w:rPr>
          <w:rFonts w:ascii="Simplified Arabic" w:hAnsi="Simplified Arabic"/>
          <w:sz w:val="24"/>
          <w:szCs w:val="24"/>
          <w:rtl/>
        </w:rPr>
        <w:t xml:space="preserve"> ص 731  </w:t>
      </w:r>
      <w:r>
        <w:rPr>
          <w:rFonts w:ascii="Simplified Arabic" w:hAnsi="Simplified Arabic" w:hint="cs"/>
          <w:sz w:val="24"/>
          <w:szCs w:val="24"/>
          <w:rtl/>
        </w:rPr>
        <w:t xml:space="preserve">ــــــ موقع محكمة النقض المصرية - المرجع السابق </w:t>
      </w:r>
      <w:r w:rsidRPr="00C669D3">
        <w:rPr>
          <w:rFonts w:ascii="Simplified Arabic" w:hAnsi="Simplified Arabic"/>
          <w:sz w:val="24"/>
          <w:szCs w:val="24"/>
          <w:rtl/>
        </w:rPr>
        <w:t xml:space="preserve">.  </w:t>
      </w:r>
    </w:p>
  </w:footnote>
  <w:footnote w:id="10">
    <w:p w14:paraId="736A66BD"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Pr>
          <w:rFonts w:ascii="Simplified Arabic" w:hAnsi="Simplified Arabic" w:hint="cs"/>
          <w:sz w:val="24"/>
          <w:szCs w:val="24"/>
          <w:rtl/>
        </w:rPr>
        <w:t xml:space="preserve">عبد الخالق حسن أحمد : المرجع السابق - ص 130 ، </w:t>
      </w:r>
      <w:r w:rsidRPr="00743D2A">
        <w:rPr>
          <w:rFonts w:ascii="Simplified Arabic" w:hAnsi="Simplified Arabic"/>
          <w:sz w:val="24"/>
          <w:szCs w:val="24"/>
          <w:rtl/>
        </w:rPr>
        <w:t xml:space="preserve">أحمد عبد الشافي و أحمد صابر </w:t>
      </w:r>
      <w:r>
        <w:rPr>
          <w:rFonts w:ascii="Simplified Arabic" w:hAnsi="Simplified Arabic" w:hint="cs"/>
          <w:sz w:val="24"/>
          <w:szCs w:val="24"/>
          <w:rtl/>
        </w:rPr>
        <w:t>:</w:t>
      </w:r>
      <w:r w:rsidRPr="00743D2A">
        <w:rPr>
          <w:rFonts w:ascii="Simplified Arabic" w:hAnsi="Simplified Arabic"/>
          <w:sz w:val="24"/>
          <w:szCs w:val="24"/>
          <w:rtl/>
        </w:rPr>
        <w:t xml:space="preserve"> موسوعة القوانين والمراسيم والتشريعات العقارية لإمارة دبي </w:t>
      </w:r>
      <w:r>
        <w:rPr>
          <w:rFonts w:ascii="Simplified Arabic" w:hAnsi="Simplified Arabic" w:hint="cs"/>
          <w:sz w:val="24"/>
          <w:szCs w:val="24"/>
          <w:rtl/>
        </w:rPr>
        <w:t>-</w:t>
      </w:r>
      <w:r w:rsidRPr="00743D2A">
        <w:rPr>
          <w:rFonts w:ascii="Simplified Arabic" w:hAnsi="Simplified Arabic"/>
          <w:sz w:val="24"/>
          <w:szCs w:val="24"/>
          <w:rtl/>
        </w:rPr>
        <w:t xml:space="preserve"> ج 1 </w:t>
      </w:r>
      <w:r>
        <w:rPr>
          <w:rFonts w:ascii="Simplified Arabic" w:hAnsi="Simplified Arabic" w:hint="cs"/>
          <w:sz w:val="24"/>
          <w:szCs w:val="24"/>
          <w:rtl/>
        </w:rPr>
        <w:t>-</w:t>
      </w:r>
      <w:r w:rsidRPr="00743D2A">
        <w:rPr>
          <w:rFonts w:ascii="Simplified Arabic" w:hAnsi="Simplified Arabic"/>
          <w:sz w:val="24"/>
          <w:szCs w:val="24"/>
          <w:rtl/>
        </w:rPr>
        <w:t xml:space="preserve"> ط 2015  </w:t>
      </w:r>
      <w:r>
        <w:rPr>
          <w:rFonts w:ascii="Simplified Arabic" w:hAnsi="Simplified Arabic" w:hint="cs"/>
          <w:sz w:val="24"/>
          <w:szCs w:val="24"/>
          <w:rtl/>
        </w:rPr>
        <w:t>-</w:t>
      </w:r>
      <w:r>
        <w:rPr>
          <w:rFonts w:ascii="Simplified Arabic" w:hAnsi="Simplified Arabic"/>
          <w:sz w:val="24"/>
          <w:szCs w:val="24"/>
          <w:rtl/>
        </w:rPr>
        <w:t xml:space="preserve"> ص 314</w:t>
      </w:r>
      <w:r w:rsidRPr="00743D2A">
        <w:rPr>
          <w:rFonts w:ascii="Simplified Arabic" w:hAnsi="Simplified Arabic"/>
          <w:sz w:val="24"/>
          <w:szCs w:val="24"/>
          <w:rtl/>
        </w:rPr>
        <w:t>.</w:t>
      </w:r>
    </w:p>
    <w:p w14:paraId="6D027739" w14:textId="77777777" w:rsidR="00BC076D" w:rsidRDefault="00BC076D" w:rsidP="00BC076D">
      <w:pPr>
        <w:pStyle w:val="FootnoteText"/>
        <w:jc w:val="both"/>
        <w:rPr>
          <w:rFonts w:ascii="Simplified Arabic" w:hAnsi="Simplified Arabic"/>
          <w:sz w:val="24"/>
          <w:szCs w:val="24"/>
          <w:rtl/>
        </w:rPr>
      </w:pPr>
    </w:p>
    <w:p w14:paraId="541E866D" w14:textId="77777777" w:rsidR="00BC076D" w:rsidRDefault="00BC076D" w:rsidP="00BC076D">
      <w:pPr>
        <w:pStyle w:val="FootnoteText"/>
        <w:jc w:val="both"/>
        <w:rPr>
          <w:rFonts w:ascii="Simplified Arabic" w:hAnsi="Simplified Arabic"/>
          <w:sz w:val="24"/>
          <w:szCs w:val="24"/>
          <w:rtl/>
        </w:rPr>
      </w:pPr>
    </w:p>
    <w:p w14:paraId="59127DCC" w14:textId="77777777" w:rsidR="00BC076D" w:rsidRDefault="00BC076D" w:rsidP="00BC076D">
      <w:pPr>
        <w:pStyle w:val="FootnoteText"/>
        <w:jc w:val="both"/>
        <w:rPr>
          <w:rFonts w:ascii="Simplified Arabic" w:hAnsi="Simplified Arabic"/>
          <w:sz w:val="24"/>
          <w:szCs w:val="24"/>
          <w:rtl/>
        </w:rPr>
      </w:pPr>
    </w:p>
    <w:p w14:paraId="46C58782" w14:textId="77777777" w:rsidR="00BC076D" w:rsidRDefault="00BC076D" w:rsidP="00BC076D">
      <w:pPr>
        <w:pStyle w:val="FootnoteText"/>
        <w:jc w:val="both"/>
        <w:rPr>
          <w:rFonts w:ascii="Simplified Arabic" w:hAnsi="Simplified Arabic"/>
          <w:sz w:val="24"/>
          <w:szCs w:val="24"/>
          <w:rtl/>
        </w:rPr>
      </w:pPr>
    </w:p>
    <w:p w14:paraId="5F5F72AB" w14:textId="77777777" w:rsidR="00BC076D" w:rsidRDefault="00BC076D" w:rsidP="00BC076D">
      <w:pPr>
        <w:pStyle w:val="FootnoteText"/>
        <w:jc w:val="both"/>
        <w:rPr>
          <w:rFonts w:ascii="Simplified Arabic" w:hAnsi="Simplified Arabic"/>
          <w:sz w:val="24"/>
          <w:szCs w:val="24"/>
          <w:rtl/>
        </w:rPr>
      </w:pPr>
    </w:p>
    <w:p w14:paraId="16DCF34A" w14:textId="77777777" w:rsidR="00BC076D" w:rsidRDefault="00BC076D" w:rsidP="00BC076D">
      <w:pPr>
        <w:pStyle w:val="FootnoteText"/>
        <w:jc w:val="both"/>
        <w:rPr>
          <w:rFonts w:ascii="Simplified Arabic" w:hAnsi="Simplified Arabic"/>
          <w:sz w:val="24"/>
          <w:szCs w:val="24"/>
          <w:rtl/>
        </w:rPr>
      </w:pPr>
    </w:p>
    <w:p w14:paraId="5CFE2CAD" w14:textId="77777777" w:rsidR="00BC076D" w:rsidRDefault="00BC076D" w:rsidP="00BC076D">
      <w:pPr>
        <w:pStyle w:val="FootnoteText"/>
        <w:jc w:val="both"/>
        <w:rPr>
          <w:rFonts w:ascii="Simplified Arabic" w:hAnsi="Simplified Arabic"/>
          <w:sz w:val="24"/>
          <w:szCs w:val="24"/>
          <w:rtl/>
        </w:rPr>
      </w:pPr>
    </w:p>
    <w:p w14:paraId="38E9DD62" w14:textId="77777777" w:rsidR="00BC076D" w:rsidRDefault="00BC076D" w:rsidP="00BC076D">
      <w:pPr>
        <w:pStyle w:val="FootnoteText"/>
        <w:jc w:val="both"/>
        <w:rPr>
          <w:rFonts w:ascii="Simplified Arabic" w:hAnsi="Simplified Arabic"/>
          <w:sz w:val="24"/>
          <w:szCs w:val="24"/>
          <w:rtl/>
        </w:rPr>
      </w:pPr>
    </w:p>
    <w:p w14:paraId="4638FF58" w14:textId="77777777" w:rsidR="00BC076D" w:rsidRDefault="00BC076D" w:rsidP="00BC076D">
      <w:pPr>
        <w:pStyle w:val="FootnoteText"/>
        <w:jc w:val="both"/>
        <w:rPr>
          <w:rFonts w:ascii="Simplified Arabic" w:hAnsi="Simplified Arabic"/>
          <w:sz w:val="24"/>
          <w:szCs w:val="24"/>
          <w:rtl/>
        </w:rPr>
      </w:pPr>
    </w:p>
    <w:p w14:paraId="4653F164" w14:textId="57AA219C"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117</w:t>
      </w:r>
    </w:p>
  </w:footnote>
  <w:footnote w:id="11">
    <w:p w14:paraId="3B5CD5D0"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تقابل نص المادة 373 من القانون المدني المصري . </w:t>
      </w:r>
    </w:p>
    <w:p w14:paraId="5378FDAD" w14:textId="77777777" w:rsidR="00BC076D" w:rsidRDefault="00BC076D" w:rsidP="00BC076D">
      <w:pPr>
        <w:pStyle w:val="FootnoteText"/>
        <w:jc w:val="both"/>
        <w:rPr>
          <w:rFonts w:ascii="Simplified Arabic" w:hAnsi="Simplified Arabic"/>
          <w:sz w:val="24"/>
          <w:szCs w:val="24"/>
          <w:rtl/>
        </w:rPr>
      </w:pPr>
    </w:p>
    <w:p w14:paraId="5D7F1589" w14:textId="77777777" w:rsidR="00BC076D" w:rsidRDefault="00BC076D" w:rsidP="00BC076D">
      <w:pPr>
        <w:pStyle w:val="FootnoteText"/>
        <w:jc w:val="both"/>
        <w:rPr>
          <w:rFonts w:ascii="Simplified Arabic" w:hAnsi="Simplified Arabic"/>
          <w:sz w:val="24"/>
          <w:szCs w:val="24"/>
          <w:rtl/>
        </w:rPr>
      </w:pPr>
    </w:p>
    <w:p w14:paraId="504C33D8" w14:textId="77777777" w:rsidR="00BC076D" w:rsidRDefault="00BC076D" w:rsidP="00BC076D">
      <w:pPr>
        <w:pStyle w:val="FootnoteText"/>
        <w:jc w:val="both"/>
        <w:rPr>
          <w:rFonts w:ascii="Simplified Arabic" w:hAnsi="Simplified Arabic"/>
          <w:sz w:val="24"/>
          <w:szCs w:val="24"/>
          <w:rtl/>
        </w:rPr>
      </w:pPr>
    </w:p>
    <w:p w14:paraId="0C92FCE4" w14:textId="77777777" w:rsidR="00BC076D" w:rsidRDefault="00BC076D" w:rsidP="00BC076D">
      <w:pPr>
        <w:pStyle w:val="FootnoteText"/>
        <w:jc w:val="both"/>
        <w:rPr>
          <w:rFonts w:ascii="Simplified Arabic" w:hAnsi="Simplified Arabic"/>
          <w:sz w:val="24"/>
          <w:szCs w:val="24"/>
          <w:rtl/>
        </w:rPr>
      </w:pPr>
    </w:p>
    <w:p w14:paraId="5747C6DA" w14:textId="77777777" w:rsidR="00BC076D" w:rsidRDefault="00BC076D" w:rsidP="00BC076D">
      <w:pPr>
        <w:pStyle w:val="FootnoteText"/>
        <w:jc w:val="both"/>
        <w:rPr>
          <w:rFonts w:ascii="Simplified Arabic" w:hAnsi="Simplified Arabic"/>
          <w:sz w:val="24"/>
          <w:szCs w:val="24"/>
          <w:rtl/>
        </w:rPr>
      </w:pPr>
    </w:p>
    <w:p w14:paraId="7CE35AA9" w14:textId="77777777" w:rsidR="00BC076D" w:rsidRDefault="00BC076D" w:rsidP="00BC076D">
      <w:pPr>
        <w:pStyle w:val="FootnoteText"/>
        <w:jc w:val="both"/>
        <w:rPr>
          <w:rFonts w:ascii="Simplified Arabic" w:hAnsi="Simplified Arabic"/>
          <w:sz w:val="24"/>
          <w:szCs w:val="24"/>
          <w:rtl/>
        </w:rPr>
      </w:pPr>
    </w:p>
    <w:p w14:paraId="345BA717" w14:textId="77777777" w:rsidR="00BC076D" w:rsidRDefault="00BC076D" w:rsidP="00BC076D">
      <w:pPr>
        <w:pStyle w:val="FootnoteText"/>
        <w:jc w:val="both"/>
        <w:rPr>
          <w:rFonts w:ascii="Simplified Arabic" w:hAnsi="Simplified Arabic"/>
          <w:sz w:val="24"/>
          <w:szCs w:val="24"/>
          <w:rtl/>
        </w:rPr>
      </w:pPr>
    </w:p>
    <w:p w14:paraId="3AF925CB" w14:textId="77777777" w:rsidR="00BC076D" w:rsidRDefault="00BC076D" w:rsidP="00BC076D">
      <w:pPr>
        <w:pStyle w:val="FootnoteText"/>
        <w:jc w:val="both"/>
        <w:rPr>
          <w:rFonts w:ascii="Simplified Arabic" w:hAnsi="Simplified Arabic"/>
          <w:sz w:val="24"/>
          <w:szCs w:val="24"/>
          <w:rtl/>
        </w:rPr>
      </w:pPr>
    </w:p>
    <w:p w14:paraId="3DE0577C" w14:textId="77777777" w:rsidR="00BC076D" w:rsidRDefault="00BC076D" w:rsidP="00BC076D">
      <w:pPr>
        <w:pStyle w:val="FootnoteText"/>
        <w:jc w:val="both"/>
        <w:rPr>
          <w:rFonts w:ascii="Simplified Arabic" w:hAnsi="Simplified Arabic"/>
          <w:sz w:val="24"/>
          <w:szCs w:val="24"/>
          <w:rtl/>
        </w:rPr>
      </w:pPr>
    </w:p>
    <w:p w14:paraId="3E9ACEA6" w14:textId="77777777" w:rsidR="00BC076D" w:rsidRDefault="00BC076D" w:rsidP="00BC076D">
      <w:pPr>
        <w:pStyle w:val="FootnoteText"/>
        <w:jc w:val="both"/>
        <w:rPr>
          <w:rFonts w:ascii="Simplified Arabic" w:hAnsi="Simplified Arabic"/>
          <w:sz w:val="24"/>
          <w:szCs w:val="24"/>
          <w:rtl/>
        </w:rPr>
      </w:pPr>
    </w:p>
    <w:p w14:paraId="342A36F1" w14:textId="77777777" w:rsidR="00BC076D" w:rsidRDefault="00BC076D" w:rsidP="00BC076D">
      <w:pPr>
        <w:pStyle w:val="FootnoteText"/>
        <w:jc w:val="both"/>
        <w:rPr>
          <w:rFonts w:ascii="Simplified Arabic" w:hAnsi="Simplified Arabic"/>
          <w:sz w:val="24"/>
          <w:szCs w:val="24"/>
          <w:rtl/>
        </w:rPr>
      </w:pPr>
    </w:p>
    <w:p w14:paraId="2A7224EA" w14:textId="77777777" w:rsidR="00BC076D" w:rsidRDefault="00BC076D" w:rsidP="00BC076D">
      <w:pPr>
        <w:pStyle w:val="FootnoteText"/>
        <w:jc w:val="both"/>
        <w:rPr>
          <w:rFonts w:ascii="Simplified Arabic" w:hAnsi="Simplified Arabic"/>
          <w:sz w:val="24"/>
          <w:szCs w:val="24"/>
          <w:rtl/>
        </w:rPr>
      </w:pPr>
    </w:p>
    <w:p w14:paraId="0A44B65F" w14:textId="7E903ED6"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118</w:t>
      </w:r>
    </w:p>
  </w:footnote>
  <w:footnote w:id="12">
    <w:p w14:paraId="4FA24810"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بالإضافة للمادتين المشار إليهما من مرشد الحيران </w:t>
      </w:r>
      <w:r>
        <w:rPr>
          <w:rFonts w:ascii="Simplified Arabic" w:hAnsi="Simplified Arabic" w:hint="cs"/>
          <w:sz w:val="24"/>
          <w:szCs w:val="24"/>
          <w:rtl/>
        </w:rPr>
        <w:t>-</w:t>
      </w:r>
      <w:r w:rsidRPr="00743D2A">
        <w:rPr>
          <w:rFonts w:ascii="Simplified Arabic" w:hAnsi="Simplified Arabic"/>
          <w:sz w:val="24"/>
          <w:szCs w:val="24"/>
          <w:rtl/>
        </w:rPr>
        <w:t xml:space="preserve"> تراجع المواد من ( 293-297 ) </w:t>
      </w:r>
      <w:r>
        <w:rPr>
          <w:rFonts w:ascii="Simplified Arabic" w:hAnsi="Simplified Arabic" w:hint="cs"/>
          <w:sz w:val="24"/>
          <w:szCs w:val="24"/>
          <w:rtl/>
        </w:rPr>
        <w:t>-</w:t>
      </w:r>
      <w:r w:rsidRPr="00743D2A">
        <w:rPr>
          <w:rFonts w:ascii="Simplified Arabic" w:hAnsi="Simplified Arabic"/>
          <w:sz w:val="24"/>
          <w:szCs w:val="24"/>
          <w:rtl/>
        </w:rPr>
        <w:t xml:space="preserve">ومن ( 591-611 ) من المجلة وشرحها لعلي حيدر </w:t>
      </w:r>
      <w:r>
        <w:rPr>
          <w:rFonts w:ascii="Simplified Arabic" w:hAnsi="Simplified Arabic" w:hint="cs"/>
          <w:sz w:val="24"/>
          <w:szCs w:val="24"/>
          <w:rtl/>
        </w:rPr>
        <w:t>-</w:t>
      </w:r>
      <w:r w:rsidRPr="00743D2A">
        <w:rPr>
          <w:rFonts w:ascii="Simplified Arabic" w:hAnsi="Simplified Arabic"/>
          <w:sz w:val="24"/>
          <w:szCs w:val="24"/>
          <w:rtl/>
        </w:rPr>
        <w:t xml:space="preserve"> المذكرة الإيضاحية لقانون المعاملات المدنية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468 .</w:t>
      </w:r>
    </w:p>
    <w:p w14:paraId="1C80A1B6" w14:textId="77777777" w:rsidR="00BC076D" w:rsidRDefault="00BC076D" w:rsidP="00BC076D">
      <w:pPr>
        <w:pStyle w:val="FootnoteText"/>
        <w:jc w:val="both"/>
        <w:rPr>
          <w:rFonts w:ascii="Simplified Arabic" w:hAnsi="Simplified Arabic"/>
          <w:sz w:val="24"/>
          <w:szCs w:val="24"/>
          <w:rtl/>
        </w:rPr>
      </w:pPr>
    </w:p>
    <w:p w14:paraId="62BBE5E0" w14:textId="77777777" w:rsidR="00BC076D" w:rsidRDefault="00BC076D" w:rsidP="00BC076D">
      <w:pPr>
        <w:pStyle w:val="FootnoteText"/>
        <w:jc w:val="both"/>
        <w:rPr>
          <w:rFonts w:ascii="Simplified Arabic" w:hAnsi="Simplified Arabic"/>
          <w:sz w:val="24"/>
          <w:szCs w:val="24"/>
          <w:rtl/>
        </w:rPr>
      </w:pPr>
    </w:p>
    <w:p w14:paraId="7901096A" w14:textId="77777777" w:rsidR="00BC076D" w:rsidRDefault="00BC076D" w:rsidP="00BC076D">
      <w:pPr>
        <w:pStyle w:val="FootnoteText"/>
        <w:jc w:val="both"/>
        <w:rPr>
          <w:rFonts w:ascii="Simplified Arabic" w:hAnsi="Simplified Arabic"/>
          <w:sz w:val="24"/>
          <w:szCs w:val="24"/>
          <w:rtl/>
        </w:rPr>
      </w:pPr>
    </w:p>
    <w:p w14:paraId="39BE6D6A" w14:textId="77777777" w:rsidR="00BC076D" w:rsidRDefault="00BC076D" w:rsidP="00BC076D">
      <w:pPr>
        <w:pStyle w:val="FootnoteText"/>
        <w:jc w:val="both"/>
        <w:rPr>
          <w:rFonts w:ascii="Simplified Arabic" w:hAnsi="Simplified Arabic"/>
          <w:sz w:val="24"/>
          <w:szCs w:val="24"/>
          <w:rtl/>
        </w:rPr>
      </w:pPr>
    </w:p>
    <w:p w14:paraId="78BCA582" w14:textId="77777777" w:rsidR="00BC076D" w:rsidRDefault="00BC076D" w:rsidP="00BC076D">
      <w:pPr>
        <w:pStyle w:val="FootnoteText"/>
        <w:jc w:val="both"/>
        <w:rPr>
          <w:rFonts w:ascii="Simplified Arabic" w:hAnsi="Simplified Arabic"/>
          <w:sz w:val="24"/>
          <w:szCs w:val="24"/>
          <w:rtl/>
        </w:rPr>
      </w:pPr>
    </w:p>
    <w:p w14:paraId="759BE3CF" w14:textId="77777777" w:rsidR="00BC076D" w:rsidRDefault="00BC076D" w:rsidP="00BC076D">
      <w:pPr>
        <w:pStyle w:val="FootnoteText"/>
        <w:jc w:val="both"/>
        <w:rPr>
          <w:rFonts w:ascii="Simplified Arabic" w:hAnsi="Simplified Arabic"/>
          <w:sz w:val="24"/>
          <w:szCs w:val="24"/>
          <w:rtl/>
        </w:rPr>
      </w:pPr>
    </w:p>
    <w:p w14:paraId="4EBA42D1" w14:textId="77777777" w:rsidR="00BC076D" w:rsidRDefault="00BC076D" w:rsidP="00BC076D">
      <w:pPr>
        <w:pStyle w:val="FootnoteText"/>
        <w:jc w:val="both"/>
        <w:rPr>
          <w:rFonts w:ascii="Simplified Arabic" w:hAnsi="Simplified Arabic"/>
          <w:sz w:val="24"/>
          <w:szCs w:val="24"/>
          <w:rtl/>
        </w:rPr>
      </w:pPr>
    </w:p>
    <w:p w14:paraId="1CE27B99" w14:textId="77777777" w:rsidR="00BC076D" w:rsidRDefault="00BC076D" w:rsidP="00BC076D">
      <w:pPr>
        <w:pStyle w:val="FootnoteText"/>
        <w:jc w:val="both"/>
        <w:rPr>
          <w:rFonts w:ascii="Simplified Arabic" w:hAnsi="Simplified Arabic"/>
          <w:sz w:val="24"/>
          <w:szCs w:val="24"/>
          <w:rtl/>
        </w:rPr>
      </w:pPr>
    </w:p>
    <w:p w14:paraId="69A1D472" w14:textId="77777777" w:rsidR="00BC076D" w:rsidRDefault="00BC076D" w:rsidP="00BC076D">
      <w:pPr>
        <w:pStyle w:val="FootnoteText"/>
        <w:jc w:val="both"/>
        <w:rPr>
          <w:rFonts w:ascii="Simplified Arabic" w:hAnsi="Simplified Arabic"/>
          <w:sz w:val="24"/>
          <w:szCs w:val="24"/>
          <w:rtl/>
        </w:rPr>
      </w:pPr>
    </w:p>
    <w:p w14:paraId="7EAA37C3" w14:textId="77777777" w:rsidR="00BC076D" w:rsidRDefault="00BC076D" w:rsidP="00BC076D">
      <w:pPr>
        <w:pStyle w:val="FootnoteText"/>
        <w:jc w:val="both"/>
        <w:rPr>
          <w:rFonts w:ascii="Simplified Arabic" w:hAnsi="Simplified Arabic"/>
          <w:sz w:val="24"/>
          <w:szCs w:val="24"/>
          <w:rtl/>
        </w:rPr>
      </w:pPr>
    </w:p>
    <w:p w14:paraId="6304C22F" w14:textId="4B45352E"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119</w:t>
      </w:r>
    </w:p>
  </w:footnote>
  <w:footnote w:id="13">
    <w:p w14:paraId="1F510C8E" w14:textId="77777777" w:rsidR="00BC076D" w:rsidRPr="00974CC5" w:rsidRDefault="00BC076D" w:rsidP="00BC076D">
      <w:pPr>
        <w:pStyle w:val="FootnoteText"/>
        <w:rPr>
          <w:sz w:val="24"/>
          <w:szCs w:val="24"/>
        </w:rPr>
      </w:pPr>
      <w:r w:rsidRPr="00974CC5">
        <w:rPr>
          <w:rStyle w:val="FootnoteReference"/>
          <w:sz w:val="24"/>
          <w:szCs w:val="24"/>
        </w:rPr>
        <w:footnoteRef/>
      </w:r>
      <w:r w:rsidRPr="00974CC5">
        <w:rPr>
          <w:sz w:val="24"/>
          <w:szCs w:val="24"/>
          <w:rtl/>
        </w:rPr>
        <w:t xml:space="preserve"> </w:t>
      </w:r>
      <w:r w:rsidRPr="00974CC5">
        <w:rPr>
          <w:rFonts w:hint="cs"/>
          <w:sz w:val="24"/>
          <w:szCs w:val="24"/>
          <w:rtl/>
        </w:rPr>
        <w:t>)</w:t>
      </w:r>
      <w:r w:rsidRPr="00974CC5">
        <w:rPr>
          <w:sz w:val="24"/>
          <w:szCs w:val="24"/>
          <w:rtl/>
        </w:rPr>
        <w:t xml:space="preserve">  أنور طلبه : المطول - المرجع السابق-  ج 5 </w:t>
      </w:r>
      <w:r>
        <w:rPr>
          <w:rFonts w:hint="cs"/>
          <w:sz w:val="24"/>
          <w:szCs w:val="24"/>
          <w:rtl/>
        </w:rPr>
        <w:t xml:space="preserve">- </w:t>
      </w:r>
      <w:r w:rsidRPr="00974CC5">
        <w:rPr>
          <w:sz w:val="24"/>
          <w:szCs w:val="24"/>
          <w:rtl/>
        </w:rPr>
        <w:t xml:space="preserve"> ص 44</w:t>
      </w:r>
      <w:r>
        <w:rPr>
          <w:rFonts w:hint="cs"/>
          <w:sz w:val="24"/>
          <w:szCs w:val="24"/>
          <w:rtl/>
        </w:rPr>
        <w:t>2</w:t>
      </w:r>
      <w:r w:rsidRPr="00974CC5">
        <w:rPr>
          <w:sz w:val="24"/>
          <w:szCs w:val="24"/>
          <w:rtl/>
        </w:rPr>
        <w:t xml:space="preserve"> وما بعدها .</w:t>
      </w:r>
    </w:p>
  </w:footnote>
  <w:footnote w:id="14">
    <w:p w14:paraId="035B7350" w14:textId="77777777" w:rsidR="00BC076D" w:rsidRDefault="00BC076D" w:rsidP="00BC076D">
      <w:pPr>
        <w:pStyle w:val="FootnoteText"/>
        <w:rPr>
          <w:sz w:val="24"/>
          <w:szCs w:val="24"/>
          <w:rtl/>
        </w:rPr>
      </w:pPr>
      <w:r w:rsidRPr="00142DAA">
        <w:rPr>
          <w:rStyle w:val="FootnoteReference"/>
          <w:sz w:val="24"/>
          <w:szCs w:val="24"/>
        </w:rPr>
        <w:footnoteRef/>
      </w:r>
      <w:r w:rsidRPr="00142DAA">
        <w:rPr>
          <w:sz w:val="24"/>
          <w:szCs w:val="24"/>
          <w:rtl/>
        </w:rPr>
        <w:t xml:space="preserve"> </w:t>
      </w:r>
      <w:r w:rsidRPr="00142DAA">
        <w:rPr>
          <w:rFonts w:hint="cs"/>
          <w:sz w:val="24"/>
          <w:szCs w:val="24"/>
          <w:rtl/>
        </w:rPr>
        <w:t xml:space="preserve"> </w:t>
      </w:r>
      <w:r w:rsidRPr="00142DAA">
        <w:rPr>
          <w:rFonts w:hint="cs"/>
          <w:sz w:val="24"/>
          <w:szCs w:val="24"/>
          <w:rtl/>
        </w:rPr>
        <w:t xml:space="preserve">) </w:t>
      </w:r>
      <w:r>
        <w:rPr>
          <w:rFonts w:hint="cs"/>
          <w:sz w:val="24"/>
          <w:szCs w:val="24"/>
          <w:rtl/>
        </w:rPr>
        <w:t xml:space="preserve"> </w:t>
      </w:r>
      <w:r>
        <w:rPr>
          <w:rFonts w:hint="cs"/>
          <w:sz w:val="24"/>
          <w:szCs w:val="24"/>
          <w:rtl/>
        </w:rPr>
        <w:t xml:space="preserve">محكمة النقض المصرية : الطعن رقم رقم 258لسنة 31 ق - بتاريخ 22/2/1966 -  والطعن رقم 190 لسنة 34 ق - بتاريخ 19/12/1968 .المرجع السابق ص 447  - 448. </w:t>
      </w:r>
    </w:p>
    <w:p w14:paraId="3B258D7A" w14:textId="77777777" w:rsidR="00BC076D" w:rsidRDefault="00BC076D" w:rsidP="00BC076D">
      <w:pPr>
        <w:pStyle w:val="FootnoteText"/>
        <w:rPr>
          <w:sz w:val="24"/>
          <w:szCs w:val="24"/>
          <w:rtl/>
        </w:rPr>
      </w:pPr>
    </w:p>
    <w:p w14:paraId="6FD81303" w14:textId="77777777" w:rsidR="00BC076D" w:rsidRDefault="00BC076D" w:rsidP="00BC076D">
      <w:pPr>
        <w:pStyle w:val="FootnoteText"/>
        <w:rPr>
          <w:sz w:val="24"/>
          <w:szCs w:val="24"/>
          <w:rtl/>
        </w:rPr>
      </w:pPr>
    </w:p>
    <w:p w14:paraId="72A67663" w14:textId="77777777" w:rsidR="00BC076D" w:rsidRDefault="00BC076D" w:rsidP="00BC076D">
      <w:pPr>
        <w:pStyle w:val="FootnoteText"/>
        <w:rPr>
          <w:sz w:val="24"/>
          <w:szCs w:val="24"/>
          <w:rtl/>
        </w:rPr>
      </w:pPr>
    </w:p>
    <w:p w14:paraId="0618B196" w14:textId="77777777" w:rsidR="00BC076D" w:rsidRDefault="00BC076D" w:rsidP="00BC076D">
      <w:pPr>
        <w:pStyle w:val="FootnoteText"/>
        <w:rPr>
          <w:sz w:val="24"/>
          <w:szCs w:val="24"/>
          <w:rtl/>
        </w:rPr>
      </w:pPr>
    </w:p>
    <w:p w14:paraId="4363C602" w14:textId="77777777" w:rsidR="00BC076D" w:rsidRDefault="00BC076D" w:rsidP="00BC076D">
      <w:pPr>
        <w:pStyle w:val="FootnoteText"/>
        <w:rPr>
          <w:sz w:val="24"/>
          <w:szCs w:val="24"/>
          <w:rtl/>
        </w:rPr>
      </w:pPr>
    </w:p>
    <w:p w14:paraId="2C76EE5A" w14:textId="77777777" w:rsidR="00BC076D" w:rsidRDefault="00BC076D" w:rsidP="00BC076D">
      <w:pPr>
        <w:pStyle w:val="FootnoteText"/>
        <w:rPr>
          <w:sz w:val="24"/>
          <w:szCs w:val="24"/>
          <w:rtl/>
        </w:rPr>
      </w:pPr>
    </w:p>
    <w:p w14:paraId="25093B64" w14:textId="77777777" w:rsidR="00BC076D" w:rsidRDefault="00BC076D" w:rsidP="00BC076D">
      <w:pPr>
        <w:pStyle w:val="FootnoteText"/>
        <w:rPr>
          <w:sz w:val="24"/>
          <w:szCs w:val="24"/>
          <w:rtl/>
        </w:rPr>
      </w:pPr>
    </w:p>
    <w:p w14:paraId="7F5AD8F2" w14:textId="77777777" w:rsidR="00BC076D" w:rsidRDefault="00BC076D" w:rsidP="00BC076D">
      <w:pPr>
        <w:pStyle w:val="FootnoteText"/>
        <w:rPr>
          <w:sz w:val="24"/>
          <w:szCs w:val="24"/>
          <w:rtl/>
        </w:rPr>
      </w:pPr>
    </w:p>
    <w:p w14:paraId="030BA5F6" w14:textId="77777777" w:rsidR="00BC076D" w:rsidRDefault="00BC076D" w:rsidP="00BC076D">
      <w:pPr>
        <w:pStyle w:val="FootnoteText"/>
        <w:rPr>
          <w:sz w:val="24"/>
          <w:szCs w:val="24"/>
          <w:rtl/>
        </w:rPr>
      </w:pPr>
    </w:p>
    <w:p w14:paraId="6EF7337A" w14:textId="77777777" w:rsidR="00BC076D" w:rsidRDefault="00BC076D" w:rsidP="00BC076D">
      <w:pPr>
        <w:pStyle w:val="FootnoteText"/>
        <w:rPr>
          <w:sz w:val="24"/>
          <w:szCs w:val="24"/>
          <w:rtl/>
        </w:rPr>
      </w:pPr>
    </w:p>
    <w:p w14:paraId="4711A341" w14:textId="77777777" w:rsidR="00BC076D" w:rsidRDefault="00BC076D" w:rsidP="00BC076D">
      <w:pPr>
        <w:pStyle w:val="FootnoteText"/>
        <w:rPr>
          <w:sz w:val="24"/>
          <w:szCs w:val="24"/>
          <w:rtl/>
        </w:rPr>
      </w:pPr>
    </w:p>
    <w:p w14:paraId="7A817689" w14:textId="0097E0ED" w:rsidR="00BC076D" w:rsidRPr="00142DAA" w:rsidRDefault="00BC076D" w:rsidP="00BC076D">
      <w:pPr>
        <w:pStyle w:val="FootnoteText"/>
        <w:jc w:val="center"/>
        <w:rPr>
          <w:sz w:val="24"/>
          <w:szCs w:val="24"/>
        </w:rPr>
      </w:pPr>
      <w:r>
        <w:rPr>
          <w:rFonts w:hint="cs"/>
          <w:sz w:val="24"/>
          <w:szCs w:val="24"/>
          <w:rtl/>
        </w:rPr>
        <w:t>120</w:t>
      </w:r>
    </w:p>
  </w:footnote>
  <w:footnote w:id="15">
    <w:p w14:paraId="5A5F41C0"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أنور طلبه : المطول </w:t>
      </w:r>
      <w:r w:rsidRPr="00743D2A">
        <w:rPr>
          <w:rFonts w:ascii="Simplified Arabic" w:hAnsi="Simplified Arabic" w:hint="cs"/>
          <w:sz w:val="24"/>
          <w:szCs w:val="24"/>
          <w:rtl/>
        </w:rPr>
        <w:t>-</w:t>
      </w:r>
      <w:r w:rsidRPr="00743D2A">
        <w:rPr>
          <w:rFonts w:ascii="Simplified Arabic" w:hAnsi="Simplified Arabic"/>
          <w:sz w:val="24"/>
          <w:szCs w:val="24"/>
          <w:rtl/>
        </w:rPr>
        <w:t xml:space="preserve"> المرجع السابق</w:t>
      </w:r>
      <w:r w:rsidRPr="00743D2A">
        <w:rPr>
          <w:rFonts w:ascii="Simplified Arabic" w:hAnsi="Simplified Arabic" w:hint="cs"/>
          <w:sz w:val="24"/>
          <w:szCs w:val="24"/>
          <w:rtl/>
        </w:rPr>
        <w:t>-</w:t>
      </w:r>
      <w:r w:rsidRPr="00743D2A">
        <w:rPr>
          <w:rFonts w:ascii="Simplified Arabic" w:hAnsi="Simplified Arabic"/>
          <w:sz w:val="24"/>
          <w:szCs w:val="24"/>
          <w:rtl/>
        </w:rPr>
        <w:t xml:space="preserve">  ج 5 </w:t>
      </w:r>
      <w:r>
        <w:rPr>
          <w:rFonts w:ascii="Simplified Arabic" w:hAnsi="Simplified Arabic" w:hint="cs"/>
          <w:sz w:val="24"/>
          <w:szCs w:val="24"/>
          <w:rtl/>
        </w:rPr>
        <w:t>-</w:t>
      </w:r>
      <w:r w:rsidRPr="00743D2A">
        <w:rPr>
          <w:rFonts w:ascii="Simplified Arabic" w:hAnsi="Simplified Arabic"/>
          <w:sz w:val="24"/>
          <w:szCs w:val="24"/>
          <w:rtl/>
        </w:rPr>
        <w:t xml:space="preserve"> ص 441 وما بعدها .</w:t>
      </w:r>
    </w:p>
    <w:p w14:paraId="0ED73C47" w14:textId="77777777" w:rsidR="00BC076D" w:rsidRDefault="00BC076D" w:rsidP="00BC076D">
      <w:pPr>
        <w:pStyle w:val="FootnoteText"/>
        <w:jc w:val="both"/>
        <w:rPr>
          <w:rFonts w:ascii="Simplified Arabic" w:hAnsi="Simplified Arabic"/>
          <w:sz w:val="24"/>
          <w:szCs w:val="24"/>
          <w:rtl/>
        </w:rPr>
      </w:pPr>
    </w:p>
    <w:p w14:paraId="3EAE5E3E" w14:textId="77777777" w:rsidR="00BC076D" w:rsidRDefault="00BC076D" w:rsidP="00BC076D">
      <w:pPr>
        <w:pStyle w:val="FootnoteText"/>
        <w:jc w:val="both"/>
        <w:rPr>
          <w:rFonts w:ascii="Simplified Arabic" w:hAnsi="Simplified Arabic"/>
          <w:sz w:val="24"/>
          <w:szCs w:val="24"/>
          <w:rtl/>
        </w:rPr>
      </w:pPr>
    </w:p>
    <w:p w14:paraId="50C2D856" w14:textId="77777777" w:rsidR="00BC076D" w:rsidRDefault="00BC076D" w:rsidP="00BC076D">
      <w:pPr>
        <w:pStyle w:val="FootnoteText"/>
        <w:jc w:val="both"/>
        <w:rPr>
          <w:rFonts w:ascii="Simplified Arabic" w:hAnsi="Simplified Arabic"/>
          <w:sz w:val="24"/>
          <w:szCs w:val="24"/>
          <w:rtl/>
        </w:rPr>
      </w:pPr>
    </w:p>
    <w:p w14:paraId="2E7B48DB" w14:textId="77777777" w:rsidR="00BC076D" w:rsidRDefault="00BC076D" w:rsidP="00BC076D">
      <w:pPr>
        <w:pStyle w:val="FootnoteText"/>
        <w:jc w:val="both"/>
        <w:rPr>
          <w:rFonts w:ascii="Simplified Arabic" w:hAnsi="Simplified Arabic"/>
          <w:sz w:val="24"/>
          <w:szCs w:val="24"/>
          <w:rtl/>
        </w:rPr>
      </w:pPr>
    </w:p>
    <w:p w14:paraId="7B87930E" w14:textId="77777777" w:rsidR="00BC076D" w:rsidRDefault="00BC076D" w:rsidP="00BC076D">
      <w:pPr>
        <w:pStyle w:val="FootnoteText"/>
        <w:jc w:val="both"/>
        <w:rPr>
          <w:rFonts w:ascii="Simplified Arabic" w:hAnsi="Simplified Arabic"/>
          <w:sz w:val="24"/>
          <w:szCs w:val="24"/>
          <w:rtl/>
        </w:rPr>
      </w:pPr>
    </w:p>
    <w:p w14:paraId="6BB7117F" w14:textId="77777777" w:rsidR="00BC076D" w:rsidRDefault="00BC076D" w:rsidP="00BC076D">
      <w:pPr>
        <w:pStyle w:val="FootnoteText"/>
        <w:jc w:val="both"/>
        <w:rPr>
          <w:rFonts w:ascii="Simplified Arabic" w:hAnsi="Simplified Arabic"/>
          <w:sz w:val="24"/>
          <w:szCs w:val="24"/>
          <w:rtl/>
        </w:rPr>
      </w:pPr>
    </w:p>
    <w:p w14:paraId="1B1FF704" w14:textId="77777777" w:rsidR="00BC076D" w:rsidRDefault="00BC076D" w:rsidP="00BC076D">
      <w:pPr>
        <w:pStyle w:val="FootnoteText"/>
        <w:jc w:val="both"/>
        <w:rPr>
          <w:rFonts w:ascii="Simplified Arabic" w:hAnsi="Simplified Arabic"/>
          <w:sz w:val="24"/>
          <w:szCs w:val="24"/>
          <w:rtl/>
        </w:rPr>
      </w:pPr>
    </w:p>
    <w:p w14:paraId="16D5263B" w14:textId="77777777" w:rsidR="00BC076D" w:rsidRDefault="00BC076D" w:rsidP="00BC076D">
      <w:pPr>
        <w:pStyle w:val="FootnoteText"/>
        <w:jc w:val="both"/>
        <w:rPr>
          <w:rFonts w:ascii="Simplified Arabic" w:hAnsi="Simplified Arabic"/>
          <w:sz w:val="24"/>
          <w:szCs w:val="24"/>
          <w:rtl/>
        </w:rPr>
      </w:pPr>
    </w:p>
    <w:p w14:paraId="4A4384AB" w14:textId="77777777" w:rsidR="00BC076D" w:rsidRDefault="00BC076D" w:rsidP="00BC076D">
      <w:pPr>
        <w:pStyle w:val="FootnoteText"/>
        <w:jc w:val="both"/>
        <w:rPr>
          <w:rFonts w:ascii="Simplified Arabic" w:hAnsi="Simplified Arabic"/>
          <w:sz w:val="24"/>
          <w:szCs w:val="24"/>
          <w:rtl/>
        </w:rPr>
      </w:pPr>
    </w:p>
    <w:p w14:paraId="5189E8AF" w14:textId="77777777" w:rsidR="00BC076D" w:rsidRDefault="00BC076D" w:rsidP="00BC076D">
      <w:pPr>
        <w:pStyle w:val="FootnoteText"/>
        <w:jc w:val="both"/>
        <w:rPr>
          <w:rFonts w:ascii="Simplified Arabic" w:hAnsi="Simplified Arabic"/>
          <w:sz w:val="24"/>
          <w:szCs w:val="24"/>
          <w:rtl/>
        </w:rPr>
      </w:pPr>
    </w:p>
    <w:p w14:paraId="35B50064" w14:textId="77777777" w:rsidR="00BC076D" w:rsidRDefault="00BC076D" w:rsidP="00BC076D">
      <w:pPr>
        <w:pStyle w:val="FootnoteText"/>
        <w:jc w:val="both"/>
        <w:rPr>
          <w:rFonts w:ascii="Simplified Arabic" w:hAnsi="Simplified Arabic"/>
          <w:sz w:val="24"/>
          <w:szCs w:val="24"/>
          <w:rtl/>
        </w:rPr>
      </w:pPr>
    </w:p>
    <w:p w14:paraId="62981B36" w14:textId="2278690A"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121</w:t>
      </w:r>
    </w:p>
  </w:footnote>
  <w:footnote w:id="16">
    <w:p w14:paraId="5A70E84B"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السنهوري </w:t>
      </w:r>
      <w:r>
        <w:rPr>
          <w:rFonts w:ascii="Simplified Arabic" w:hAnsi="Simplified Arabic" w:hint="cs"/>
          <w:sz w:val="24"/>
          <w:szCs w:val="24"/>
          <w:rtl/>
        </w:rPr>
        <w:t>:7</w:t>
      </w:r>
      <w:r w:rsidRPr="00743D2A">
        <w:rPr>
          <w:rFonts w:ascii="Simplified Arabic" w:hAnsi="Simplified Arabic"/>
          <w:sz w:val="24"/>
          <w:szCs w:val="24"/>
          <w:rtl/>
        </w:rPr>
        <w:t xml:space="preserve"> الوسيط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ج 10 </w:t>
      </w:r>
      <w:r>
        <w:rPr>
          <w:rFonts w:ascii="Simplified Arabic" w:hAnsi="Simplified Arabic" w:hint="cs"/>
          <w:sz w:val="24"/>
          <w:szCs w:val="24"/>
          <w:rtl/>
        </w:rPr>
        <w:t>-</w:t>
      </w:r>
      <w:r w:rsidRPr="00743D2A">
        <w:rPr>
          <w:rFonts w:ascii="Simplified Arabic" w:hAnsi="Simplified Arabic"/>
          <w:sz w:val="24"/>
          <w:szCs w:val="24"/>
          <w:rtl/>
        </w:rPr>
        <w:t xml:space="preserve"> ص495 .</w:t>
      </w:r>
    </w:p>
    <w:p w14:paraId="214280FA" w14:textId="77777777" w:rsidR="00BC076D" w:rsidRDefault="00BC076D" w:rsidP="00BC076D">
      <w:pPr>
        <w:pStyle w:val="FootnoteText"/>
        <w:jc w:val="both"/>
        <w:rPr>
          <w:rFonts w:ascii="Simplified Arabic" w:hAnsi="Simplified Arabic"/>
          <w:sz w:val="24"/>
          <w:szCs w:val="24"/>
          <w:rtl/>
        </w:rPr>
      </w:pPr>
    </w:p>
    <w:p w14:paraId="24A2D304" w14:textId="77777777" w:rsidR="00BC076D" w:rsidRDefault="00BC076D" w:rsidP="00BC076D">
      <w:pPr>
        <w:pStyle w:val="FootnoteText"/>
        <w:jc w:val="both"/>
        <w:rPr>
          <w:rFonts w:ascii="Simplified Arabic" w:hAnsi="Simplified Arabic"/>
          <w:sz w:val="24"/>
          <w:szCs w:val="24"/>
          <w:rtl/>
        </w:rPr>
      </w:pPr>
    </w:p>
    <w:p w14:paraId="517845C6" w14:textId="77777777" w:rsidR="00BC076D" w:rsidRDefault="00BC076D" w:rsidP="00BC076D">
      <w:pPr>
        <w:pStyle w:val="FootnoteText"/>
        <w:jc w:val="both"/>
        <w:rPr>
          <w:rFonts w:ascii="Simplified Arabic" w:hAnsi="Simplified Arabic"/>
          <w:sz w:val="24"/>
          <w:szCs w:val="24"/>
          <w:rtl/>
        </w:rPr>
      </w:pPr>
    </w:p>
    <w:p w14:paraId="0A320D48" w14:textId="77777777" w:rsidR="00BC076D" w:rsidRDefault="00BC076D" w:rsidP="00BC076D">
      <w:pPr>
        <w:pStyle w:val="FootnoteText"/>
        <w:jc w:val="both"/>
        <w:rPr>
          <w:rFonts w:ascii="Simplified Arabic" w:hAnsi="Simplified Arabic"/>
          <w:sz w:val="24"/>
          <w:szCs w:val="24"/>
          <w:rtl/>
        </w:rPr>
      </w:pPr>
    </w:p>
    <w:p w14:paraId="15F2E41B" w14:textId="77777777" w:rsidR="00BC076D" w:rsidRDefault="00BC076D" w:rsidP="00BC076D">
      <w:pPr>
        <w:pStyle w:val="FootnoteText"/>
        <w:jc w:val="both"/>
        <w:rPr>
          <w:rFonts w:ascii="Simplified Arabic" w:hAnsi="Simplified Arabic"/>
          <w:sz w:val="24"/>
          <w:szCs w:val="24"/>
          <w:rtl/>
        </w:rPr>
      </w:pPr>
    </w:p>
    <w:p w14:paraId="1819F77A" w14:textId="77777777" w:rsidR="00BC076D" w:rsidRDefault="00BC076D" w:rsidP="00BC076D">
      <w:pPr>
        <w:pStyle w:val="FootnoteText"/>
        <w:jc w:val="both"/>
        <w:rPr>
          <w:rFonts w:ascii="Simplified Arabic" w:hAnsi="Simplified Arabic"/>
          <w:sz w:val="24"/>
          <w:szCs w:val="24"/>
          <w:rtl/>
        </w:rPr>
      </w:pPr>
    </w:p>
    <w:p w14:paraId="70FC0FCD" w14:textId="77777777" w:rsidR="00BC076D" w:rsidRDefault="00BC076D" w:rsidP="00BC076D">
      <w:pPr>
        <w:pStyle w:val="FootnoteText"/>
        <w:jc w:val="both"/>
        <w:rPr>
          <w:rFonts w:ascii="Simplified Arabic" w:hAnsi="Simplified Arabic"/>
          <w:sz w:val="24"/>
          <w:szCs w:val="24"/>
          <w:rtl/>
        </w:rPr>
      </w:pPr>
    </w:p>
    <w:p w14:paraId="75A6B9C4" w14:textId="77777777" w:rsidR="00BC076D" w:rsidRDefault="00BC076D" w:rsidP="00BC076D">
      <w:pPr>
        <w:pStyle w:val="FootnoteText"/>
        <w:jc w:val="both"/>
        <w:rPr>
          <w:rFonts w:ascii="Simplified Arabic" w:hAnsi="Simplified Arabic"/>
          <w:sz w:val="24"/>
          <w:szCs w:val="24"/>
          <w:rtl/>
        </w:rPr>
      </w:pPr>
    </w:p>
    <w:p w14:paraId="405C5402" w14:textId="77777777" w:rsidR="00BC076D" w:rsidRDefault="00BC076D" w:rsidP="00BC076D">
      <w:pPr>
        <w:pStyle w:val="FootnoteText"/>
        <w:jc w:val="both"/>
        <w:rPr>
          <w:rFonts w:ascii="Simplified Arabic" w:hAnsi="Simplified Arabic"/>
          <w:sz w:val="24"/>
          <w:szCs w:val="24"/>
          <w:rtl/>
        </w:rPr>
      </w:pPr>
    </w:p>
    <w:p w14:paraId="42FAD83C" w14:textId="1121DAD2"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122</w:t>
      </w:r>
    </w:p>
  </w:footnote>
  <w:footnote w:id="17">
    <w:p w14:paraId="45CAECAA" w14:textId="77777777" w:rsidR="00BC076D" w:rsidRDefault="00BC076D" w:rsidP="00BC076D">
      <w:pPr>
        <w:pStyle w:val="FootnoteText"/>
        <w:jc w:val="both"/>
      </w:pPr>
      <w:r w:rsidRPr="00932305">
        <w:rPr>
          <w:rFonts w:ascii="Simplified Arabic" w:hAnsi="Simplified Arabic"/>
          <w:sz w:val="24"/>
          <w:szCs w:val="24"/>
        </w:rPr>
        <w:footnoteRef/>
      </w:r>
      <w:r w:rsidRPr="00932305">
        <w:rPr>
          <w:rFonts w:ascii="Simplified Arabic" w:hAnsi="Simplified Arabic"/>
          <w:sz w:val="24"/>
          <w:szCs w:val="24"/>
          <w:rtl/>
        </w:rPr>
        <w:t xml:space="preserve"> </w:t>
      </w:r>
      <w:r w:rsidRPr="00932305">
        <w:rPr>
          <w:rFonts w:ascii="Simplified Arabic" w:hAnsi="Simplified Arabic" w:hint="cs"/>
          <w:sz w:val="24"/>
          <w:szCs w:val="24"/>
          <w:rtl/>
        </w:rPr>
        <w:t xml:space="preserve">) </w:t>
      </w:r>
      <w:r w:rsidRPr="00932305">
        <w:rPr>
          <w:rFonts w:ascii="Simplified Arabic" w:hAnsi="Simplified Arabic"/>
          <w:sz w:val="24"/>
          <w:szCs w:val="24"/>
          <w:rtl/>
        </w:rPr>
        <w:t xml:space="preserve">عبد المنعم البدراوي </w:t>
      </w:r>
      <w:r>
        <w:rPr>
          <w:rFonts w:ascii="Simplified Arabic" w:hAnsi="Simplified Arabic" w:hint="cs"/>
          <w:sz w:val="24"/>
          <w:szCs w:val="24"/>
          <w:rtl/>
        </w:rPr>
        <w:t>:</w:t>
      </w:r>
      <w:r w:rsidRPr="00932305">
        <w:rPr>
          <w:rFonts w:ascii="Simplified Arabic" w:hAnsi="Simplified Arabic"/>
          <w:sz w:val="24"/>
          <w:szCs w:val="24"/>
          <w:rtl/>
        </w:rPr>
        <w:t xml:space="preserve"> أثر مضي المدة على الالتزام </w:t>
      </w:r>
      <w:r>
        <w:rPr>
          <w:rFonts w:ascii="Simplified Arabic" w:hAnsi="Simplified Arabic" w:hint="cs"/>
          <w:sz w:val="24"/>
          <w:szCs w:val="24"/>
          <w:rtl/>
        </w:rPr>
        <w:t>-</w:t>
      </w:r>
      <w:r w:rsidRPr="00932305">
        <w:rPr>
          <w:rFonts w:ascii="Simplified Arabic" w:hAnsi="Simplified Arabic"/>
          <w:sz w:val="24"/>
          <w:szCs w:val="24"/>
          <w:rtl/>
        </w:rPr>
        <w:t xml:space="preserve"> رسالة دكتوراة </w:t>
      </w:r>
      <w:r>
        <w:rPr>
          <w:rFonts w:ascii="Simplified Arabic" w:hAnsi="Simplified Arabic" w:hint="cs"/>
          <w:sz w:val="24"/>
          <w:szCs w:val="24"/>
          <w:rtl/>
        </w:rPr>
        <w:t>-</w:t>
      </w:r>
      <w:r w:rsidRPr="00932305">
        <w:rPr>
          <w:rFonts w:ascii="Simplified Arabic" w:hAnsi="Simplified Arabic"/>
          <w:sz w:val="24"/>
          <w:szCs w:val="24"/>
          <w:rtl/>
        </w:rPr>
        <w:t xml:space="preserve"> حقوق القاهرة </w:t>
      </w:r>
      <w:r>
        <w:rPr>
          <w:rFonts w:ascii="Simplified Arabic" w:hAnsi="Simplified Arabic" w:hint="cs"/>
          <w:sz w:val="24"/>
          <w:szCs w:val="24"/>
          <w:rtl/>
        </w:rPr>
        <w:t>-</w:t>
      </w:r>
      <w:r w:rsidRPr="00932305">
        <w:rPr>
          <w:rFonts w:ascii="Simplified Arabic" w:hAnsi="Simplified Arabic"/>
          <w:sz w:val="24"/>
          <w:szCs w:val="24"/>
          <w:rtl/>
        </w:rPr>
        <w:t xml:space="preserve"> س</w:t>
      </w:r>
      <w:r>
        <w:rPr>
          <w:rFonts w:ascii="Simplified Arabic" w:hAnsi="Simplified Arabic" w:hint="cs"/>
          <w:sz w:val="24"/>
          <w:szCs w:val="24"/>
          <w:rtl/>
        </w:rPr>
        <w:t>ن</w:t>
      </w:r>
      <w:r w:rsidRPr="00932305">
        <w:rPr>
          <w:rFonts w:ascii="Simplified Arabic" w:hAnsi="Simplified Arabic"/>
          <w:sz w:val="24"/>
          <w:szCs w:val="24"/>
          <w:rtl/>
        </w:rPr>
        <w:t xml:space="preserve">ة 1950 </w:t>
      </w:r>
      <w:r>
        <w:rPr>
          <w:rFonts w:ascii="Simplified Arabic" w:hAnsi="Simplified Arabic" w:hint="cs"/>
          <w:sz w:val="24"/>
          <w:szCs w:val="24"/>
          <w:rtl/>
        </w:rPr>
        <w:t>-</w:t>
      </w:r>
      <w:r w:rsidRPr="00932305">
        <w:rPr>
          <w:rFonts w:ascii="Simplified Arabic" w:hAnsi="Simplified Arabic"/>
          <w:sz w:val="24"/>
          <w:szCs w:val="24"/>
          <w:rtl/>
        </w:rPr>
        <w:t xml:space="preserve"> ص 17 وما بعدها .</w:t>
      </w:r>
    </w:p>
  </w:footnote>
  <w:footnote w:id="18">
    <w:p w14:paraId="14E60C87" w14:textId="77777777" w:rsidR="00BC076D" w:rsidRDefault="00BC076D" w:rsidP="00BC076D">
      <w:pPr>
        <w:pStyle w:val="FootnoteText"/>
        <w:jc w:val="both"/>
        <w:rPr>
          <w:rFonts w:ascii="Simplified Arabic" w:hAnsi="Simplified Arabic"/>
          <w:sz w:val="24"/>
          <w:szCs w:val="24"/>
          <w:rtl/>
        </w:rPr>
      </w:pPr>
      <w:r w:rsidRPr="009C30C9">
        <w:rPr>
          <w:rFonts w:ascii="Simplified Arabic" w:hAnsi="Simplified Arabic"/>
          <w:sz w:val="24"/>
          <w:szCs w:val="24"/>
        </w:rPr>
        <w:footnoteRef/>
      </w:r>
      <w:r w:rsidRPr="009C30C9">
        <w:rPr>
          <w:rFonts w:ascii="Simplified Arabic" w:hAnsi="Simplified Arabic"/>
          <w:sz w:val="24"/>
          <w:szCs w:val="24"/>
          <w:rtl/>
        </w:rPr>
        <w:t xml:space="preserve"> </w:t>
      </w:r>
      <w:r w:rsidRPr="009C30C9">
        <w:rPr>
          <w:rFonts w:ascii="Simplified Arabic" w:hAnsi="Simplified Arabic" w:hint="cs"/>
          <w:sz w:val="24"/>
          <w:szCs w:val="24"/>
          <w:rtl/>
        </w:rPr>
        <w:t>)</w:t>
      </w:r>
      <w:r>
        <w:rPr>
          <w:rFonts w:ascii="Simplified Arabic" w:hAnsi="Simplified Arabic" w:hint="cs"/>
          <w:sz w:val="24"/>
          <w:szCs w:val="24"/>
          <w:rtl/>
        </w:rPr>
        <w:t xml:space="preserve"> </w:t>
      </w:r>
      <w:r>
        <w:rPr>
          <w:rFonts w:ascii="Simplified Arabic" w:hAnsi="Simplified Arabic" w:hint="cs"/>
          <w:sz w:val="24"/>
          <w:szCs w:val="24"/>
          <w:rtl/>
        </w:rPr>
        <w:t>عبد الواحد كرم : أحكام الالتزام في  قانون المعاملات المدنية  لدولة الإمارات العربية المتحدة - بدون ناشر أو سنة نشر -  مكتبة الشارقة العامة رقم 155603 -  ص 303  .</w:t>
      </w:r>
    </w:p>
    <w:p w14:paraId="297F9A0B" w14:textId="77777777" w:rsidR="00BC076D" w:rsidRDefault="00BC076D" w:rsidP="00BC076D">
      <w:pPr>
        <w:pStyle w:val="FootnoteText"/>
        <w:jc w:val="both"/>
        <w:rPr>
          <w:rFonts w:ascii="Simplified Arabic" w:hAnsi="Simplified Arabic"/>
          <w:sz w:val="24"/>
          <w:szCs w:val="24"/>
          <w:rtl/>
        </w:rPr>
      </w:pPr>
    </w:p>
    <w:p w14:paraId="44FF1DFE" w14:textId="77777777" w:rsidR="00BC076D" w:rsidRDefault="00BC076D" w:rsidP="00BC076D">
      <w:pPr>
        <w:pStyle w:val="FootnoteText"/>
        <w:jc w:val="both"/>
        <w:rPr>
          <w:rFonts w:ascii="Simplified Arabic" w:hAnsi="Simplified Arabic"/>
          <w:sz w:val="24"/>
          <w:szCs w:val="24"/>
          <w:rtl/>
        </w:rPr>
      </w:pPr>
    </w:p>
    <w:p w14:paraId="348CBF7E" w14:textId="77777777" w:rsidR="00BC076D" w:rsidRDefault="00BC076D" w:rsidP="00BC076D">
      <w:pPr>
        <w:pStyle w:val="FootnoteText"/>
        <w:jc w:val="both"/>
        <w:rPr>
          <w:rFonts w:ascii="Simplified Arabic" w:hAnsi="Simplified Arabic"/>
          <w:sz w:val="24"/>
          <w:szCs w:val="24"/>
          <w:rtl/>
        </w:rPr>
      </w:pPr>
    </w:p>
    <w:p w14:paraId="53C20EF2" w14:textId="77777777" w:rsidR="00BC076D" w:rsidRDefault="00BC076D" w:rsidP="00BC076D">
      <w:pPr>
        <w:pStyle w:val="FootnoteText"/>
        <w:jc w:val="both"/>
        <w:rPr>
          <w:rFonts w:ascii="Simplified Arabic" w:hAnsi="Simplified Arabic"/>
          <w:sz w:val="24"/>
          <w:szCs w:val="24"/>
          <w:rtl/>
        </w:rPr>
      </w:pPr>
    </w:p>
    <w:p w14:paraId="4055A109" w14:textId="77777777" w:rsidR="00BC076D" w:rsidRDefault="00BC076D" w:rsidP="00BC076D">
      <w:pPr>
        <w:pStyle w:val="FootnoteText"/>
        <w:jc w:val="both"/>
        <w:rPr>
          <w:rFonts w:ascii="Simplified Arabic" w:hAnsi="Simplified Arabic"/>
          <w:sz w:val="24"/>
          <w:szCs w:val="24"/>
          <w:rtl/>
        </w:rPr>
      </w:pPr>
    </w:p>
    <w:p w14:paraId="64291C3F" w14:textId="77777777" w:rsidR="00BC076D" w:rsidRDefault="00BC076D" w:rsidP="00BC076D">
      <w:pPr>
        <w:pStyle w:val="FootnoteText"/>
        <w:jc w:val="both"/>
        <w:rPr>
          <w:rFonts w:ascii="Simplified Arabic" w:hAnsi="Simplified Arabic"/>
          <w:sz w:val="24"/>
          <w:szCs w:val="24"/>
          <w:rtl/>
        </w:rPr>
      </w:pPr>
    </w:p>
    <w:p w14:paraId="28C52EF8" w14:textId="77777777" w:rsidR="00BC076D" w:rsidRDefault="00BC076D" w:rsidP="00BC076D">
      <w:pPr>
        <w:pStyle w:val="FootnoteText"/>
        <w:jc w:val="both"/>
        <w:rPr>
          <w:rFonts w:ascii="Simplified Arabic" w:hAnsi="Simplified Arabic"/>
          <w:sz w:val="24"/>
          <w:szCs w:val="24"/>
          <w:rtl/>
        </w:rPr>
      </w:pPr>
    </w:p>
    <w:p w14:paraId="4E479202" w14:textId="77777777" w:rsidR="00BC076D" w:rsidRDefault="00BC076D" w:rsidP="00BC076D">
      <w:pPr>
        <w:pStyle w:val="FootnoteText"/>
        <w:jc w:val="both"/>
        <w:rPr>
          <w:rFonts w:ascii="Simplified Arabic" w:hAnsi="Simplified Arabic"/>
          <w:sz w:val="24"/>
          <w:szCs w:val="24"/>
          <w:rtl/>
        </w:rPr>
      </w:pPr>
    </w:p>
    <w:p w14:paraId="1D975BB4" w14:textId="2A059DA0" w:rsidR="00BC076D" w:rsidRDefault="00BC076D" w:rsidP="00BC076D">
      <w:pPr>
        <w:pStyle w:val="FootnoteText"/>
        <w:jc w:val="center"/>
      </w:pPr>
      <w:r>
        <w:rPr>
          <w:rFonts w:hint="cs"/>
          <w:rtl/>
        </w:rPr>
        <w:t>123</w:t>
      </w:r>
    </w:p>
  </w:footnote>
  <w:footnote w:id="19">
    <w:p w14:paraId="5AB455BE"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Pr>
          <w:rFonts w:ascii="Simplified Arabic" w:hAnsi="Simplified Arabic"/>
          <w:sz w:val="24"/>
          <w:szCs w:val="24"/>
          <w:rtl/>
        </w:rPr>
        <w:t xml:space="preserve"> </w:t>
      </w:r>
      <w:r>
        <w:rPr>
          <w:rFonts w:ascii="Simplified Arabic" w:hAnsi="Simplified Arabic"/>
          <w:sz w:val="24"/>
          <w:szCs w:val="24"/>
          <w:rtl/>
        </w:rPr>
        <w:t>) عبد الحميد الشواربي و</w:t>
      </w:r>
      <w:r>
        <w:rPr>
          <w:rFonts w:ascii="Simplified Arabic" w:hAnsi="Simplified Arabic" w:hint="cs"/>
          <w:sz w:val="24"/>
          <w:szCs w:val="24"/>
          <w:rtl/>
        </w:rPr>
        <w:t xml:space="preserve"> </w:t>
      </w:r>
      <w:r>
        <w:rPr>
          <w:rFonts w:ascii="Simplified Arabic" w:hAnsi="Simplified Arabic"/>
          <w:sz w:val="24"/>
          <w:szCs w:val="24"/>
          <w:rtl/>
        </w:rPr>
        <w:t>المستشار</w:t>
      </w:r>
      <w:r>
        <w:rPr>
          <w:rFonts w:ascii="Simplified Arabic" w:hAnsi="Simplified Arabic" w:hint="cs"/>
          <w:sz w:val="24"/>
          <w:szCs w:val="24"/>
          <w:rtl/>
        </w:rPr>
        <w:t xml:space="preserve"> </w:t>
      </w:r>
      <w:r w:rsidRPr="00743D2A">
        <w:rPr>
          <w:rFonts w:ascii="Simplified Arabic" w:hAnsi="Simplified Arabic"/>
          <w:sz w:val="24"/>
          <w:szCs w:val="24"/>
          <w:rtl/>
        </w:rPr>
        <w:t>أسامة عثمان</w:t>
      </w:r>
      <w:r>
        <w:rPr>
          <w:rFonts w:ascii="Simplified Arabic" w:hAnsi="Simplified Arabic" w:hint="cs"/>
          <w:sz w:val="24"/>
          <w:szCs w:val="24"/>
          <w:rtl/>
        </w:rPr>
        <w:t xml:space="preserve"> :</w:t>
      </w:r>
      <w:r w:rsidRPr="00743D2A">
        <w:rPr>
          <w:rFonts w:ascii="Simplified Arabic" w:hAnsi="Simplified Arabic"/>
          <w:sz w:val="24"/>
          <w:szCs w:val="24"/>
          <w:rtl/>
        </w:rPr>
        <w:t xml:space="preserve"> أحكام التقادم </w:t>
      </w:r>
      <w:r>
        <w:rPr>
          <w:rFonts w:ascii="Simplified Arabic" w:hAnsi="Simplified Arabic" w:hint="cs"/>
          <w:sz w:val="24"/>
          <w:szCs w:val="24"/>
          <w:rtl/>
        </w:rPr>
        <w:t>-</w:t>
      </w:r>
      <w:r w:rsidRPr="00743D2A">
        <w:rPr>
          <w:rFonts w:ascii="Simplified Arabic" w:hAnsi="Simplified Arabic"/>
          <w:sz w:val="24"/>
          <w:szCs w:val="24"/>
          <w:rtl/>
        </w:rPr>
        <w:t xml:space="preserve"> 1989 </w:t>
      </w:r>
      <w:r>
        <w:rPr>
          <w:rFonts w:ascii="Simplified Arabic" w:hAnsi="Simplified Arabic" w:hint="cs"/>
          <w:sz w:val="24"/>
          <w:szCs w:val="24"/>
          <w:rtl/>
        </w:rPr>
        <w:t>-</w:t>
      </w:r>
      <w:r w:rsidRPr="00743D2A">
        <w:rPr>
          <w:rFonts w:ascii="Simplified Arabic" w:hAnsi="Simplified Arabic"/>
          <w:sz w:val="24"/>
          <w:szCs w:val="24"/>
          <w:rtl/>
        </w:rPr>
        <w:t xml:space="preserve"> منشأة المعارف </w:t>
      </w:r>
      <w:r>
        <w:rPr>
          <w:rFonts w:ascii="Simplified Arabic" w:hAnsi="Simplified Arabic" w:hint="cs"/>
          <w:sz w:val="24"/>
          <w:szCs w:val="24"/>
          <w:rtl/>
        </w:rPr>
        <w:t>-</w:t>
      </w:r>
      <w:r w:rsidRPr="00743D2A">
        <w:rPr>
          <w:rFonts w:ascii="Simplified Arabic" w:hAnsi="Simplified Arabic"/>
          <w:sz w:val="24"/>
          <w:szCs w:val="24"/>
          <w:rtl/>
        </w:rPr>
        <w:t xml:space="preserve">  ص 11 وما بعدها . </w:t>
      </w:r>
    </w:p>
  </w:footnote>
  <w:footnote w:id="20">
    <w:p w14:paraId="534A4B64"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عبد الحميد نجاشي الزهيري </w:t>
      </w:r>
      <w:r>
        <w:rPr>
          <w:rFonts w:ascii="Simplified Arabic" w:hAnsi="Simplified Arabic" w:hint="cs"/>
          <w:sz w:val="24"/>
          <w:szCs w:val="24"/>
          <w:rtl/>
        </w:rPr>
        <w:t>:</w:t>
      </w:r>
      <w:r w:rsidRPr="00743D2A">
        <w:rPr>
          <w:rFonts w:ascii="Simplified Arabic" w:hAnsi="Simplified Arabic"/>
          <w:sz w:val="24"/>
          <w:szCs w:val="24"/>
          <w:rtl/>
        </w:rPr>
        <w:t xml:space="preserve"> شرح قانون المعاملات المدنية الإماراتي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291 .</w:t>
      </w:r>
    </w:p>
    <w:p w14:paraId="50836348" w14:textId="77777777" w:rsidR="00BC076D" w:rsidRDefault="00BC076D" w:rsidP="00BC076D">
      <w:pPr>
        <w:pStyle w:val="FootnoteText"/>
        <w:jc w:val="both"/>
        <w:rPr>
          <w:rFonts w:ascii="Simplified Arabic" w:hAnsi="Simplified Arabic"/>
          <w:sz w:val="24"/>
          <w:szCs w:val="24"/>
          <w:rtl/>
        </w:rPr>
      </w:pPr>
    </w:p>
    <w:p w14:paraId="07B40BE7" w14:textId="77777777" w:rsidR="00BC076D" w:rsidRDefault="00BC076D" w:rsidP="00BC076D">
      <w:pPr>
        <w:pStyle w:val="FootnoteText"/>
        <w:jc w:val="both"/>
        <w:rPr>
          <w:rFonts w:ascii="Simplified Arabic" w:hAnsi="Simplified Arabic"/>
          <w:sz w:val="24"/>
          <w:szCs w:val="24"/>
          <w:rtl/>
        </w:rPr>
      </w:pPr>
    </w:p>
    <w:p w14:paraId="2C7DDF02" w14:textId="77777777" w:rsidR="00BC076D" w:rsidRDefault="00BC076D" w:rsidP="00BC076D">
      <w:pPr>
        <w:pStyle w:val="FootnoteText"/>
        <w:jc w:val="both"/>
        <w:rPr>
          <w:rFonts w:ascii="Simplified Arabic" w:hAnsi="Simplified Arabic"/>
          <w:sz w:val="24"/>
          <w:szCs w:val="24"/>
          <w:rtl/>
        </w:rPr>
      </w:pPr>
    </w:p>
    <w:p w14:paraId="1AF12BCE" w14:textId="77777777" w:rsidR="00BC076D" w:rsidRDefault="00BC076D" w:rsidP="00BC076D">
      <w:pPr>
        <w:pStyle w:val="FootnoteText"/>
        <w:jc w:val="both"/>
        <w:rPr>
          <w:rFonts w:ascii="Simplified Arabic" w:hAnsi="Simplified Arabic"/>
          <w:sz w:val="24"/>
          <w:szCs w:val="24"/>
          <w:rtl/>
        </w:rPr>
      </w:pPr>
    </w:p>
    <w:p w14:paraId="3DD77786" w14:textId="77777777" w:rsidR="00BC076D" w:rsidRDefault="00BC076D" w:rsidP="00BC076D">
      <w:pPr>
        <w:pStyle w:val="FootnoteText"/>
        <w:jc w:val="both"/>
        <w:rPr>
          <w:rFonts w:ascii="Simplified Arabic" w:hAnsi="Simplified Arabic"/>
          <w:sz w:val="24"/>
          <w:szCs w:val="24"/>
          <w:rtl/>
        </w:rPr>
      </w:pPr>
    </w:p>
    <w:p w14:paraId="42EE6AF0" w14:textId="77777777" w:rsidR="00BC076D" w:rsidRDefault="00BC076D" w:rsidP="00BC076D">
      <w:pPr>
        <w:pStyle w:val="FootnoteText"/>
        <w:jc w:val="both"/>
        <w:rPr>
          <w:rFonts w:ascii="Simplified Arabic" w:hAnsi="Simplified Arabic"/>
          <w:sz w:val="24"/>
          <w:szCs w:val="24"/>
          <w:rtl/>
        </w:rPr>
      </w:pPr>
    </w:p>
    <w:p w14:paraId="61DB89DE" w14:textId="77777777" w:rsidR="00BC076D" w:rsidRDefault="00BC076D" w:rsidP="00BC076D">
      <w:pPr>
        <w:pStyle w:val="FootnoteText"/>
        <w:jc w:val="both"/>
        <w:rPr>
          <w:rFonts w:ascii="Simplified Arabic" w:hAnsi="Simplified Arabic"/>
          <w:sz w:val="24"/>
          <w:szCs w:val="24"/>
          <w:rtl/>
        </w:rPr>
      </w:pPr>
    </w:p>
    <w:p w14:paraId="78C30B6F" w14:textId="77777777" w:rsidR="00BC076D" w:rsidRDefault="00BC076D" w:rsidP="00BC076D">
      <w:pPr>
        <w:pStyle w:val="FootnoteText"/>
        <w:jc w:val="both"/>
        <w:rPr>
          <w:rFonts w:ascii="Simplified Arabic" w:hAnsi="Simplified Arabic"/>
          <w:sz w:val="24"/>
          <w:szCs w:val="24"/>
          <w:rtl/>
        </w:rPr>
      </w:pPr>
    </w:p>
    <w:p w14:paraId="5FD78DED" w14:textId="77777777" w:rsidR="00BC076D" w:rsidRDefault="00BC076D" w:rsidP="00BC076D">
      <w:pPr>
        <w:pStyle w:val="FootnoteText"/>
        <w:jc w:val="both"/>
        <w:rPr>
          <w:rFonts w:ascii="Simplified Arabic" w:hAnsi="Simplified Arabic"/>
          <w:sz w:val="24"/>
          <w:szCs w:val="24"/>
          <w:rtl/>
        </w:rPr>
      </w:pPr>
    </w:p>
    <w:p w14:paraId="43681E83" w14:textId="77777777" w:rsidR="00BC076D" w:rsidRDefault="00BC076D" w:rsidP="00BC076D">
      <w:pPr>
        <w:pStyle w:val="FootnoteText"/>
        <w:jc w:val="both"/>
        <w:rPr>
          <w:rFonts w:ascii="Simplified Arabic" w:hAnsi="Simplified Arabic"/>
          <w:sz w:val="24"/>
          <w:szCs w:val="24"/>
          <w:rtl/>
        </w:rPr>
      </w:pPr>
    </w:p>
    <w:p w14:paraId="720F2D4A" w14:textId="77777777" w:rsidR="00BC076D" w:rsidRDefault="00BC076D" w:rsidP="00BC076D">
      <w:pPr>
        <w:pStyle w:val="FootnoteText"/>
        <w:jc w:val="both"/>
        <w:rPr>
          <w:rFonts w:ascii="Simplified Arabic" w:hAnsi="Simplified Arabic"/>
          <w:sz w:val="24"/>
          <w:szCs w:val="24"/>
          <w:rtl/>
        </w:rPr>
      </w:pPr>
    </w:p>
    <w:p w14:paraId="5A161C7B" w14:textId="77777777" w:rsidR="00BC076D" w:rsidRDefault="00BC076D" w:rsidP="00BC076D">
      <w:pPr>
        <w:pStyle w:val="FootnoteText"/>
        <w:jc w:val="both"/>
        <w:rPr>
          <w:rFonts w:ascii="Simplified Arabic" w:hAnsi="Simplified Arabic"/>
          <w:sz w:val="24"/>
          <w:szCs w:val="24"/>
          <w:rtl/>
        </w:rPr>
      </w:pPr>
    </w:p>
    <w:p w14:paraId="0E9A4ECF" w14:textId="77777777" w:rsidR="00BC076D" w:rsidRDefault="00BC076D" w:rsidP="00BC076D">
      <w:pPr>
        <w:pStyle w:val="FootnoteText"/>
        <w:jc w:val="both"/>
        <w:rPr>
          <w:rFonts w:ascii="Simplified Arabic" w:hAnsi="Simplified Arabic"/>
          <w:sz w:val="24"/>
          <w:szCs w:val="24"/>
          <w:rtl/>
        </w:rPr>
      </w:pPr>
    </w:p>
    <w:p w14:paraId="0CB3ED69" w14:textId="77777777" w:rsidR="00BC076D" w:rsidRDefault="00BC076D" w:rsidP="00BC076D">
      <w:pPr>
        <w:pStyle w:val="FootnoteText"/>
        <w:jc w:val="both"/>
        <w:rPr>
          <w:rFonts w:ascii="Simplified Arabic" w:hAnsi="Simplified Arabic"/>
          <w:sz w:val="24"/>
          <w:szCs w:val="24"/>
          <w:rtl/>
        </w:rPr>
      </w:pPr>
    </w:p>
    <w:p w14:paraId="4FA6E821" w14:textId="77777777" w:rsidR="00BC076D" w:rsidRDefault="00BC076D" w:rsidP="00BC076D">
      <w:pPr>
        <w:pStyle w:val="FootnoteText"/>
        <w:jc w:val="both"/>
        <w:rPr>
          <w:rFonts w:ascii="Simplified Arabic" w:hAnsi="Simplified Arabic"/>
          <w:sz w:val="24"/>
          <w:szCs w:val="24"/>
          <w:rtl/>
        </w:rPr>
      </w:pPr>
    </w:p>
    <w:p w14:paraId="7377D6E3" w14:textId="6BC20D58"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124</w:t>
      </w:r>
    </w:p>
  </w:footnote>
  <w:footnote w:id="21">
    <w:p w14:paraId="0D411581"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وهو تقادم خمسي بحسب نص المادة 474 معاملات مدنية : " 1- لا تسمع دعوى المطالبة بأي حق دوري متجدد عند الإنكار بانقضاء خمس سنوات بغير عذر شرعي. 2- وبالنسبة للريع المستحق في ذمة الحائز سيئ النية فلا تسمع الدعوى به على المنكر بانقضاء خمس عشرة سنة بغير عذر شرعي.  "  </w:t>
      </w:r>
    </w:p>
  </w:footnote>
  <w:footnote w:id="22">
    <w:p w14:paraId="14E2B448" w14:textId="77777777" w:rsidR="00BC076D" w:rsidRPr="00743D2A" w:rsidRDefault="00BC076D" w:rsidP="00BC076D">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المادة 476 معاملات مدنية :  "  لا تسمع الدعوى عند الإنكار وعدم قيام العذر الشرعي إذا انقضت سنتان على الحقوق الآتية: أ- حقوق التجار والصناع عن أشياء وردوها لأشخاص لا يتجرون في هذه الأشياء وحقوق أصحاب الفنادق والمطاعم عن أجر الإقامة وثمن الطعام وكل ما أنفقوه لحساب عملائهم. ب- حقوق العمال والخدم والأجراء من أجور يومية وغير يومية ومن ثمن ما قاموا به من توريدات.  " . </w:t>
      </w:r>
    </w:p>
  </w:footnote>
  <w:footnote w:id="23">
    <w:p w14:paraId="582AED65"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المادة رقم 475  /1 معاملات مدنية :   " لا تسمع الدعوى عند الإنكار وعدم قيام العذر الشرعي إذا انقضت خمس سنوات على الحقوق الآتية: 1- حقوق الأطباء والصيادلة</w:t>
      </w:r>
      <w:r>
        <w:rPr>
          <w:rFonts w:ascii="Simplified Arabic" w:hAnsi="Simplified Arabic" w:hint="cs"/>
          <w:sz w:val="24"/>
          <w:szCs w:val="24"/>
          <w:rtl/>
        </w:rPr>
        <w:t xml:space="preserve"> </w:t>
      </w:r>
      <w:r w:rsidRPr="00743D2A">
        <w:rPr>
          <w:rFonts w:ascii="Simplified Arabic" w:hAnsi="Simplified Arabic"/>
          <w:sz w:val="24"/>
          <w:szCs w:val="24"/>
          <w:rtl/>
        </w:rPr>
        <w:t xml:space="preserve"> </w:t>
      </w:r>
      <w:r>
        <w:rPr>
          <w:rFonts w:ascii="Simplified Arabic" w:hAnsi="Simplified Arabic" w:hint="cs"/>
          <w:sz w:val="24"/>
          <w:szCs w:val="24"/>
          <w:rtl/>
        </w:rPr>
        <w:t xml:space="preserve"> </w:t>
      </w:r>
      <w:r w:rsidRPr="00743D2A">
        <w:rPr>
          <w:rFonts w:ascii="Simplified Arabic" w:hAnsi="Simplified Arabic"/>
          <w:sz w:val="24"/>
          <w:szCs w:val="24"/>
          <w:rtl/>
        </w:rPr>
        <w:t>والمحامين والمهندسين والخبراء والأساتذة والمعلمين والوسطاء على أن تكون هذه الحقوق مستحقة لهم عما أدوه من أعمال مهنتهم وما أنفقوه من مصروفات.   " .</w:t>
      </w:r>
    </w:p>
    <w:p w14:paraId="24F6A1AB" w14:textId="24A4EAF9" w:rsidR="00BC076D" w:rsidRDefault="00BC076D" w:rsidP="00BC076D">
      <w:pPr>
        <w:pStyle w:val="FootnoteText"/>
        <w:jc w:val="both"/>
        <w:rPr>
          <w:rFonts w:ascii="Simplified Arabic" w:hAnsi="Simplified Arabic"/>
          <w:sz w:val="24"/>
          <w:szCs w:val="24"/>
          <w:rtl/>
        </w:rPr>
      </w:pPr>
      <w:r>
        <w:rPr>
          <w:rFonts w:ascii="Simplified Arabic" w:hAnsi="Simplified Arabic" w:hint="cs"/>
          <w:sz w:val="24"/>
          <w:szCs w:val="24"/>
          <w:rtl/>
        </w:rPr>
        <w:t>7</w:t>
      </w:r>
    </w:p>
    <w:p w14:paraId="0935E385" w14:textId="77777777" w:rsidR="00BC076D" w:rsidRDefault="00BC076D" w:rsidP="00BC076D">
      <w:pPr>
        <w:pStyle w:val="FootnoteText"/>
        <w:jc w:val="both"/>
        <w:rPr>
          <w:rFonts w:ascii="Simplified Arabic" w:hAnsi="Simplified Arabic"/>
          <w:sz w:val="24"/>
          <w:szCs w:val="24"/>
          <w:rtl/>
        </w:rPr>
      </w:pPr>
    </w:p>
    <w:p w14:paraId="2F984C7F" w14:textId="77777777" w:rsidR="00BC076D" w:rsidRDefault="00BC076D" w:rsidP="00BC076D">
      <w:pPr>
        <w:pStyle w:val="FootnoteText"/>
        <w:jc w:val="both"/>
        <w:rPr>
          <w:rFonts w:ascii="Simplified Arabic" w:hAnsi="Simplified Arabic"/>
          <w:sz w:val="24"/>
          <w:szCs w:val="24"/>
          <w:rtl/>
        </w:rPr>
      </w:pPr>
    </w:p>
    <w:p w14:paraId="316FCD6E" w14:textId="77777777" w:rsidR="00BC076D" w:rsidRDefault="00BC076D" w:rsidP="00BC076D">
      <w:pPr>
        <w:pStyle w:val="FootnoteText"/>
        <w:jc w:val="both"/>
        <w:rPr>
          <w:rFonts w:ascii="Simplified Arabic" w:hAnsi="Simplified Arabic"/>
          <w:sz w:val="24"/>
          <w:szCs w:val="24"/>
          <w:rtl/>
        </w:rPr>
      </w:pPr>
    </w:p>
    <w:p w14:paraId="18EC6131" w14:textId="77777777" w:rsidR="00BC076D" w:rsidRDefault="00BC076D" w:rsidP="00BC076D">
      <w:pPr>
        <w:pStyle w:val="FootnoteText"/>
        <w:jc w:val="both"/>
        <w:rPr>
          <w:rFonts w:ascii="Simplified Arabic" w:hAnsi="Simplified Arabic"/>
          <w:sz w:val="24"/>
          <w:szCs w:val="24"/>
          <w:rtl/>
        </w:rPr>
      </w:pPr>
    </w:p>
    <w:p w14:paraId="5E4F37E0" w14:textId="77777777" w:rsidR="00BC076D" w:rsidRDefault="00BC076D" w:rsidP="00BC076D">
      <w:pPr>
        <w:pStyle w:val="FootnoteText"/>
        <w:jc w:val="both"/>
        <w:rPr>
          <w:rFonts w:ascii="Simplified Arabic" w:hAnsi="Simplified Arabic"/>
          <w:sz w:val="24"/>
          <w:szCs w:val="24"/>
          <w:rtl/>
        </w:rPr>
      </w:pPr>
    </w:p>
    <w:p w14:paraId="706774BA" w14:textId="4FD6AECD" w:rsidR="00BC076D" w:rsidRPr="00743D2A" w:rsidRDefault="00BC076D" w:rsidP="00BC076D">
      <w:pPr>
        <w:pStyle w:val="FootnoteText"/>
        <w:jc w:val="center"/>
        <w:rPr>
          <w:rFonts w:ascii="Simplified Arabic" w:hAnsi="Simplified Arabic"/>
          <w:sz w:val="24"/>
          <w:szCs w:val="24"/>
        </w:rPr>
      </w:pPr>
      <w:r>
        <w:rPr>
          <w:rFonts w:ascii="Simplified Arabic" w:hAnsi="Simplified Arabic" w:hint="cs"/>
          <w:sz w:val="24"/>
          <w:szCs w:val="24"/>
          <w:rtl/>
        </w:rPr>
        <w:t>125</w:t>
      </w:r>
    </w:p>
  </w:footnote>
  <w:footnote w:id="24">
    <w:p w14:paraId="458B0CF5" w14:textId="77777777" w:rsidR="00BC076D" w:rsidRPr="00743D2A" w:rsidRDefault="00BC076D" w:rsidP="00BC076D">
      <w:pPr>
        <w:pStyle w:val="FootnoteText"/>
        <w:jc w:val="both"/>
        <w:rPr>
          <w:rFonts w:ascii="Simplified Arabic" w:hAnsi="Simplified Arabic"/>
          <w:color w:val="FF0000"/>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عبد الواحد كرم </w:t>
      </w:r>
      <w:r>
        <w:rPr>
          <w:rFonts w:ascii="Simplified Arabic" w:hAnsi="Simplified Arabic" w:hint="cs"/>
          <w:sz w:val="24"/>
          <w:szCs w:val="24"/>
          <w:rtl/>
        </w:rPr>
        <w:t>:</w:t>
      </w:r>
      <w:r w:rsidRPr="00743D2A">
        <w:rPr>
          <w:rFonts w:ascii="Simplified Arabic" w:hAnsi="Simplified Arabic"/>
          <w:sz w:val="24"/>
          <w:szCs w:val="24"/>
          <w:rtl/>
        </w:rPr>
        <w:t xml:space="preserve"> أحكام </w:t>
      </w:r>
      <w:r>
        <w:rPr>
          <w:rFonts w:ascii="Simplified Arabic" w:hAnsi="Simplified Arabic"/>
          <w:sz w:val="24"/>
          <w:szCs w:val="24"/>
          <w:rtl/>
        </w:rPr>
        <w:t>الالتزام</w:t>
      </w:r>
      <w:r w:rsidRPr="00743D2A">
        <w:rPr>
          <w:rFonts w:ascii="Simplified Arabic" w:hAnsi="Simplified Arabic"/>
          <w:sz w:val="24"/>
          <w:szCs w:val="24"/>
          <w:rtl/>
        </w:rPr>
        <w:t xml:space="preserve"> في قانون المعاملات المدنية الإماراتي </w:t>
      </w:r>
      <w:r>
        <w:rPr>
          <w:rFonts w:ascii="Simplified Arabic" w:hAnsi="Simplified Arabic" w:hint="cs"/>
          <w:sz w:val="24"/>
          <w:szCs w:val="24"/>
          <w:rtl/>
        </w:rPr>
        <w:t>-</w:t>
      </w:r>
      <w:r w:rsidRPr="00743D2A">
        <w:rPr>
          <w:rFonts w:ascii="Simplified Arabic" w:hAnsi="Simplified Arabic"/>
          <w:sz w:val="24"/>
          <w:szCs w:val="24"/>
          <w:rtl/>
        </w:rPr>
        <w:t xml:space="preserve"> </w:t>
      </w:r>
      <w:r w:rsidRPr="00743D2A">
        <w:rPr>
          <w:rFonts w:ascii="Simplified Arabic" w:hAnsi="Simplified Arabic" w:hint="cs"/>
          <w:sz w:val="24"/>
          <w:szCs w:val="24"/>
          <w:rtl/>
        </w:rPr>
        <w:t>بدون تاريخ نشر</w:t>
      </w:r>
      <w:r>
        <w:rPr>
          <w:rFonts w:ascii="Simplified Arabic" w:hAnsi="Simplified Arabic" w:hint="cs"/>
          <w:sz w:val="24"/>
          <w:szCs w:val="24"/>
          <w:rtl/>
        </w:rPr>
        <w:t>-</w:t>
      </w:r>
      <w:r w:rsidRPr="00743D2A">
        <w:rPr>
          <w:sz w:val="24"/>
          <w:szCs w:val="24"/>
          <w:rtl/>
        </w:rPr>
        <w:t xml:space="preserve"> </w:t>
      </w:r>
      <w:r w:rsidRPr="00743D2A">
        <w:rPr>
          <w:rFonts w:ascii="Simplified Arabic" w:hAnsi="Simplified Arabic"/>
          <w:sz w:val="24"/>
          <w:szCs w:val="24"/>
          <w:rtl/>
        </w:rPr>
        <w:t xml:space="preserve">دار الفجر للطباعة والنشر </w:t>
      </w:r>
      <w:r>
        <w:rPr>
          <w:rFonts w:ascii="Simplified Arabic" w:hAnsi="Simplified Arabic" w:hint="cs"/>
          <w:sz w:val="24"/>
          <w:szCs w:val="24"/>
          <w:rtl/>
        </w:rPr>
        <w:t xml:space="preserve">- </w:t>
      </w:r>
      <w:r w:rsidRPr="00743D2A">
        <w:rPr>
          <w:rFonts w:ascii="Simplified Arabic" w:hAnsi="Simplified Arabic"/>
          <w:sz w:val="24"/>
          <w:szCs w:val="24"/>
          <w:rtl/>
        </w:rPr>
        <w:t xml:space="preserve"> ص 304.  </w:t>
      </w:r>
    </w:p>
  </w:footnote>
  <w:footnote w:id="25">
    <w:p w14:paraId="027CF2D7" w14:textId="77777777" w:rsidR="00BC076D" w:rsidRDefault="00BC076D" w:rsidP="00BC076D">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w:t>
      </w:r>
      <w:r w:rsidRPr="00743D2A">
        <w:rPr>
          <w:rFonts w:ascii="Simplified Arabic" w:hAnsi="Simplified Arabic" w:hint="cs"/>
          <w:sz w:val="24"/>
          <w:szCs w:val="24"/>
          <w:rtl/>
        </w:rPr>
        <w:t xml:space="preserve">  </w:t>
      </w:r>
      <w:r w:rsidRPr="00743D2A">
        <w:rPr>
          <w:rFonts w:ascii="Simplified Arabic" w:hAnsi="Simplified Arabic" w:hint="cs"/>
          <w:sz w:val="24"/>
          <w:szCs w:val="24"/>
          <w:rtl/>
        </w:rPr>
        <w:t>وقد قضت</w:t>
      </w:r>
      <w:r w:rsidRPr="00743D2A">
        <w:rPr>
          <w:rFonts w:ascii="Simplified Arabic" w:hAnsi="Simplified Arabic"/>
          <w:sz w:val="24"/>
          <w:szCs w:val="24"/>
          <w:rtl/>
        </w:rPr>
        <w:t xml:space="preserve"> محكمة التمييز </w:t>
      </w:r>
      <w:r w:rsidRPr="00743D2A">
        <w:rPr>
          <w:rFonts w:ascii="Simplified Arabic" w:hAnsi="Simplified Arabic" w:hint="cs"/>
          <w:sz w:val="24"/>
          <w:szCs w:val="24"/>
          <w:rtl/>
        </w:rPr>
        <w:t>ب</w:t>
      </w:r>
      <w:r w:rsidRPr="00743D2A">
        <w:rPr>
          <w:rFonts w:ascii="Simplified Arabic" w:hAnsi="Simplified Arabic"/>
          <w:sz w:val="24"/>
          <w:szCs w:val="24"/>
          <w:rtl/>
        </w:rPr>
        <w:t xml:space="preserve">دبي بتاريخ 11-12-2006 في الطعن رقم </w:t>
      </w:r>
      <w:r w:rsidRPr="00743D2A">
        <w:rPr>
          <w:rFonts w:ascii="Simplified Arabic" w:hAnsi="Simplified Arabic" w:hint="cs"/>
          <w:sz w:val="24"/>
          <w:szCs w:val="24"/>
          <w:rtl/>
        </w:rPr>
        <w:t xml:space="preserve"> 217/</w:t>
      </w:r>
      <w:r w:rsidRPr="00743D2A">
        <w:rPr>
          <w:rFonts w:ascii="Simplified Arabic" w:hAnsi="Simplified Arabic"/>
          <w:sz w:val="24"/>
          <w:szCs w:val="24"/>
          <w:rtl/>
        </w:rPr>
        <w:t>2006  طعن تجاري</w:t>
      </w:r>
      <w:r w:rsidRPr="00743D2A">
        <w:rPr>
          <w:rFonts w:ascii="Simplified Arabic" w:hAnsi="Simplified Arabic" w:hint="cs"/>
          <w:sz w:val="24"/>
          <w:szCs w:val="24"/>
          <w:rtl/>
        </w:rPr>
        <w:t xml:space="preserve"> </w:t>
      </w:r>
      <w:r>
        <w:rPr>
          <w:rFonts w:ascii="Simplified Arabic" w:hAnsi="Simplified Arabic" w:hint="cs"/>
          <w:sz w:val="24"/>
          <w:szCs w:val="24"/>
          <w:rtl/>
        </w:rPr>
        <w:t>با</w:t>
      </w:r>
      <w:r w:rsidRPr="00743D2A">
        <w:rPr>
          <w:rFonts w:ascii="Simplified Arabic" w:hAnsi="Simplified Arabic" w:hint="cs"/>
          <w:sz w:val="24"/>
          <w:szCs w:val="24"/>
          <w:rtl/>
        </w:rPr>
        <w:t xml:space="preserve">لتأكيد على هذا المبدأ حيث جاء في حكمها أن : " </w:t>
      </w:r>
      <w:r w:rsidRPr="00743D2A">
        <w:rPr>
          <w:rFonts w:ascii="Simplified Arabic" w:hAnsi="Simplified Arabic"/>
          <w:sz w:val="24"/>
          <w:szCs w:val="24"/>
          <w:rtl/>
        </w:rPr>
        <w:t>نصوص المواد 1400</w:t>
      </w:r>
      <w:r>
        <w:rPr>
          <w:rFonts w:ascii="Simplified Arabic" w:hAnsi="Simplified Arabic" w:hint="cs"/>
          <w:sz w:val="24"/>
          <w:szCs w:val="24"/>
          <w:rtl/>
        </w:rPr>
        <w:t>،=</w:t>
      </w:r>
      <w:r w:rsidRPr="00743D2A">
        <w:rPr>
          <w:rFonts w:ascii="Simplified Arabic" w:hAnsi="Simplified Arabic"/>
          <w:sz w:val="24"/>
          <w:szCs w:val="24"/>
          <w:rtl/>
        </w:rPr>
        <w:t xml:space="preserve"> </w:t>
      </w:r>
      <w:r>
        <w:rPr>
          <w:rFonts w:ascii="Simplified Arabic" w:hAnsi="Simplified Arabic" w:hint="cs"/>
          <w:sz w:val="24"/>
          <w:szCs w:val="24"/>
          <w:rtl/>
        </w:rPr>
        <w:t>=</w:t>
      </w:r>
      <w:r w:rsidRPr="00743D2A">
        <w:rPr>
          <w:rFonts w:ascii="Simplified Arabic" w:hAnsi="Simplified Arabic"/>
          <w:sz w:val="24"/>
          <w:szCs w:val="24"/>
          <w:rtl/>
        </w:rPr>
        <w:t xml:space="preserve">1405 </w:t>
      </w:r>
      <w:r>
        <w:rPr>
          <w:rFonts w:ascii="Simplified Arabic" w:hAnsi="Simplified Arabic" w:hint="cs"/>
          <w:sz w:val="24"/>
          <w:szCs w:val="24"/>
          <w:rtl/>
        </w:rPr>
        <w:t>-</w:t>
      </w:r>
      <w:r w:rsidRPr="00743D2A">
        <w:rPr>
          <w:rFonts w:ascii="Simplified Arabic" w:hAnsi="Simplified Arabic"/>
          <w:sz w:val="24"/>
          <w:szCs w:val="24"/>
          <w:rtl/>
        </w:rPr>
        <w:t xml:space="preserve"> 1446  من قانون المعاملات المدنية تدل على أن الرهن التأميني ينعقد بتسجيله في السجل العقاري وإذا انقضت مدة الدين المضمون بالرهن التأميني بمرور الزمان يحق للراهن أن يقيم دعوى أمام المحكمة المختصة لطلب الحكم بفك الرهن لأن فك الرهن في هذه الحالة وإن كان محتوماً إلا أنه لا يتم تلقائياً وإنما بناء على حكم قضائي يقضى بفك الرهن بسبب عدم سماع دعوى الدين لمرور الزمان وذلك بالغاء قيده من السجل العقاري</w:t>
      </w:r>
      <w:r>
        <w:rPr>
          <w:rFonts w:ascii="Simplified Arabic" w:hAnsi="Simplified Arabic" w:hint="cs"/>
          <w:sz w:val="24"/>
          <w:szCs w:val="24"/>
          <w:rtl/>
        </w:rPr>
        <w:t xml:space="preserve"> "</w:t>
      </w:r>
      <w:r w:rsidRPr="00743D2A">
        <w:rPr>
          <w:rFonts w:ascii="Simplified Arabic" w:hAnsi="Simplified Arabic" w:hint="cs"/>
          <w:sz w:val="24"/>
          <w:szCs w:val="24"/>
          <w:rtl/>
        </w:rPr>
        <w:t xml:space="preserve"> </w:t>
      </w:r>
      <w:r w:rsidRPr="00743D2A">
        <w:rPr>
          <w:rFonts w:ascii="Simplified Arabic" w:hAnsi="Simplified Arabic"/>
          <w:sz w:val="24"/>
          <w:szCs w:val="24"/>
        </w:rPr>
        <w:t>www.dubaicourts.gov.ae</w:t>
      </w:r>
      <w:hyperlink r:id="rId1" w:history="1"/>
      <w:r>
        <w:rPr>
          <w:rFonts w:ascii="Simplified Arabic" w:hAnsi="Simplified Arabic"/>
          <w:sz w:val="24"/>
          <w:szCs w:val="24"/>
          <w:lang w:val="en-GB"/>
        </w:rPr>
        <w:t xml:space="preserve"> </w:t>
      </w:r>
      <w:r w:rsidRPr="00743D2A">
        <w:rPr>
          <w:rFonts w:ascii="Simplified Arabic" w:hAnsi="Simplified Arabic" w:hint="cs"/>
          <w:sz w:val="24"/>
          <w:szCs w:val="24"/>
          <w:rtl/>
        </w:rPr>
        <w:t xml:space="preserve"> موقع محاكم دبي الإلكتروني تاريخ الإطلاع 15/6/2016  .</w:t>
      </w:r>
    </w:p>
    <w:p w14:paraId="0E7CE1CC" w14:textId="77777777" w:rsidR="00BC076D" w:rsidRPr="00930A4D" w:rsidRDefault="00BC076D" w:rsidP="00BC076D">
      <w:pPr>
        <w:pStyle w:val="FootnoteText"/>
        <w:jc w:val="both"/>
        <w:rPr>
          <w:rFonts w:ascii="Simplified Arabic" w:hAnsi="Simplified Arabic"/>
          <w:sz w:val="24"/>
          <w:szCs w:val="24"/>
          <w:rtl/>
          <w:lang w:val="en-GB"/>
        </w:rPr>
      </w:pPr>
    </w:p>
    <w:p w14:paraId="67EF11B9" w14:textId="77777777" w:rsidR="00BC076D" w:rsidRPr="00743D2A" w:rsidRDefault="00BC076D" w:rsidP="00BC076D">
      <w:pPr>
        <w:pStyle w:val="FootnoteText"/>
        <w:jc w:val="both"/>
        <w:rPr>
          <w:rFonts w:ascii="Simplified Arabic" w:hAnsi="Simplified Arabic"/>
          <w:sz w:val="24"/>
          <w:szCs w:val="24"/>
          <w:rtl/>
        </w:rPr>
      </w:pPr>
      <w:r w:rsidRPr="00743D2A">
        <w:rPr>
          <w:rFonts w:ascii="Simplified Arabic" w:hAnsi="Simplified Arabic"/>
          <w:sz w:val="24"/>
          <w:szCs w:val="24"/>
          <w:rtl/>
        </w:rPr>
        <w:t xml:space="preserve"> </w:t>
      </w:r>
      <w:r w:rsidRPr="00743D2A">
        <w:rPr>
          <w:rFonts w:ascii="Simplified Arabic" w:hAnsi="Simplified Arabic"/>
          <w:sz w:val="24"/>
          <w:szCs w:val="24"/>
        </w:rPr>
        <w:t>-</w:t>
      </w:r>
      <w:r w:rsidRPr="00743D2A">
        <w:rPr>
          <w:rFonts w:ascii="Simplified Arabic" w:hAnsi="Simplified Arabic" w:hint="cs"/>
          <w:sz w:val="24"/>
          <w:szCs w:val="24"/>
          <w:rtl/>
        </w:rPr>
        <w:t xml:space="preserve">  كما </w:t>
      </w:r>
      <w:r>
        <w:rPr>
          <w:rFonts w:ascii="Simplified Arabic" w:hAnsi="Simplified Arabic" w:hint="cs"/>
          <w:sz w:val="24"/>
          <w:szCs w:val="24"/>
          <w:rtl/>
        </w:rPr>
        <w:t>أ</w:t>
      </w:r>
      <w:r w:rsidRPr="00743D2A">
        <w:rPr>
          <w:rFonts w:ascii="Simplified Arabic" w:hAnsi="Simplified Arabic" w:hint="cs"/>
          <w:sz w:val="24"/>
          <w:szCs w:val="24"/>
          <w:rtl/>
        </w:rPr>
        <w:t>كدت المحكمة على نفس المبد</w:t>
      </w:r>
      <w:r>
        <w:rPr>
          <w:rFonts w:ascii="Simplified Arabic" w:hAnsi="Simplified Arabic" w:hint="cs"/>
          <w:sz w:val="24"/>
          <w:szCs w:val="24"/>
          <w:rtl/>
        </w:rPr>
        <w:t>أ</w:t>
      </w:r>
      <w:r w:rsidRPr="00743D2A">
        <w:rPr>
          <w:rFonts w:ascii="Simplified Arabic" w:hAnsi="Simplified Arabic" w:hint="cs"/>
          <w:sz w:val="24"/>
          <w:szCs w:val="24"/>
          <w:rtl/>
        </w:rPr>
        <w:t xml:space="preserve"> في حكم آخر لها حيث تضمن حكمها ما يلي : " </w:t>
      </w:r>
      <w:r w:rsidRPr="00743D2A">
        <w:rPr>
          <w:rFonts w:ascii="Simplified Arabic" w:hAnsi="Simplified Arabic"/>
          <w:sz w:val="24"/>
          <w:szCs w:val="24"/>
          <w:rtl/>
        </w:rPr>
        <w:t>النعى على الحكم المطعون فيه مخالفته للقانون و القصور فى التسبيب بمقولة إنه تجاهل الرد على الدفع بسقوط دعوى عدم نفاذ التصرف بمضى ثلاثة أعوام من تاريخ عقد الرهن المؤرخ 1984/1/5 أو من تاريخ علم المميز ضده بالرهن فى 1984/6/19 مردود بأن المقرر فى المذهب المالكى ــ المطبق فى الدعوى ــ أنه إذا سكت صاحب الحق دون عذر مانع مدة من الزمان قدرها البعض بعشرين سنة و البعض الآخر بثلاثين سنة ثم طالب بحقه بعد ذلك</w:t>
      </w:r>
      <w:r>
        <w:rPr>
          <w:rFonts w:ascii="Simplified Arabic" w:hAnsi="Simplified Arabic" w:hint="cs"/>
          <w:sz w:val="24"/>
          <w:szCs w:val="24"/>
          <w:rtl/>
        </w:rPr>
        <w:t xml:space="preserve"> -     </w:t>
      </w:r>
      <w:r w:rsidRPr="00743D2A">
        <w:rPr>
          <w:rFonts w:ascii="Simplified Arabic" w:hAnsi="Simplified Arabic"/>
          <w:sz w:val="24"/>
          <w:szCs w:val="24"/>
          <w:rtl/>
        </w:rPr>
        <w:t xml:space="preserve"> فإن دعواه تكون غير مسموعة لما كان ذلك وكان المميز ضده قد أقام دعواه فى 1988/1/5 فإن المدة اللازمة لعدم سماع الدعوى لا تكون قد انقضت بعد </w:t>
      </w:r>
      <w:r>
        <w:rPr>
          <w:rFonts w:ascii="Simplified Arabic" w:hAnsi="Simplified Arabic" w:hint="cs"/>
          <w:sz w:val="24"/>
          <w:szCs w:val="24"/>
          <w:rtl/>
        </w:rPr>
        <w:t>-</w:t>
      </w:r>
      <w:r w:rsidRPr="00743D2A">
        <w:rPr>
          <w:rFonts w:ascii="Simplified Arabic" w:hAnsi="Simplified Arabic"/>
          <w:sz w:val="24"/>
          <w:szCs w:val="24"/>
          <w:rtl/>
        </w:rPr>
        <w:t xml:space="preserve"> ويعد سكوت الحكم المطعون فيه عن الرد على هذا الدفع بمثابة رفض ضمنى له</w:t>
      </w:r>
      <w:r w:rsidRPr="00743D2A">
        <w:rPr>
          <w:rFonts w:ascii="Simplified Arabic" w:hAnsi="Simplified Arabic" w:hint="cs"/>
          <w:sz w:val="24"/>
          <w:szCs w:val="24"/>
          <w:rtl/>
        </w:rPr>
        <w:t>"</w:t>
      </w:r>
      <w:r w:rsidRPr="00743D2A">
        <w:rPr>
          <w:rFonts w:ascii="Simplified Arabic" w:hAnsi="Simplified Arabic"/>
          <w:sz w:val="24"/>
          <w:szCs w:val="24"/>
          <w:rtl/>
        </w:rPr>
        <w:t xml:space="preserve"> </w:t>
      </w:r>
    </w:p>
    <w:p w14:paraId="5987C30B" w14:textId="77777777" w:rsidR="00BC076D" w:rsidRDefault="00BC076D" w:rsidP="00BC076D">
      <w:pPr>
        <w:pStyle w:val="FootnoteText"/>
        <w:jc w:val="both"/>
        <w:rPr>
          <w:rFonts w:ascii="Simplified Arabic" w:hAnsi="Simplified Arabic"/>
          <w:sz w:val="24"/>
          <w:szCs w:val="24"/>
          <w:rtl/>
        </w:rPr>
      </w:pPr>
      <w:r w:rsidRPr="00743D2A">
        <w:rPr>
          <w:rFonts w:ascii="Simplified Arabic" w:hAnsi="Simplified Arabic"/>
          <w:sz w:val="24"/>
          <w:szCs w:val="24"/>
          <w:rtl/>
        </w:rPr>
        <w:t xml:space="preserve">محكمة التمييز بدبي - الأحكام المدنية  </w:t>
      </w:r>
      <w:r>
        <w:rPr>
          <w:rFonts w:ascii="Simplified Arabic" w:hAnsi="Simplified Arabic" w:hint="cs"/>
          <w:sz w:val="24"/>
          <w:szCs w:val="24"/>
          <w:rtl/>
        </w:rPr>
        <w:t>-</w:t>
      </w:r>
      <w:r w:rsidRPr="00743D2A">
        <w:rPr>
          <w:rFonts w:ascii="Simplified Arabic" w:hAnsi="Simplified Arabic"/>
          <w:sz w:val="24"/>
          <w:szCs w:val="24"/>
          <w:rtl/>
        </w:rPr>
        <w:t xml:space="preserve">  الطعن رقم  47   لسنة  1990  قضائية  ، بتاريخ  23 - 2 - 1991   </w:t>
      </w:r>
      <w:r>
        <w:rPr>
          <w:rFonts w:ascii="Simplified Arabic" w:hAnsi="Simplified Arabic" w:hint="cs"/>
          <w:sz w:val="24"/>
          <w:szCs w:val="24"/>
          <w:rtl/>
        </w:rPr>
        <w:t>-</w:t>
      </w:r>
      <w:r w:rsidRPr="00743D2A">
        <w:rPr>
          <w:rFonts w:ascii="Simplified Arabic" w:hAnsi="Simplified Arabic"/>
          <w:sz w:val="24"/>
          <w:szCs w:val="24"/>
          <w:rtl/>
        </w:rPr>
        <w:t xml:space="preserve"> </w:t>
      </w:r>
      <w:r>
        <w:rPr>
          <w:rFonts w:ascii="Simplified Arabic" w:hAnsi="Simplified Arabic" w:hint="cs"/>
          <w:sz w:val="24"/>
          <w:szCs w:val="24"/>
          <w:rtl/>
        </w:rPr>
        <w:t xml:space="preserve"> </w:t>
      </w:r>
      <w:hyperlink r:id="rId2" w:history="1">
        <w:r w:rsidRPr="00BA17C6">
          <w:rPr>
            <w:rStyle w:val="Hyperlink"/>
            <w:rFonts w:ascii="Simplified Arabic" w:hAnsi="Simplified Arabic"/>
            <w:sz w:val="24"/>
            <w:szCs w:val="24"/>
          </w:rPr>
          <w:t>http://site.eastlaws.com</w:t>
        </w:r>
      </w:hyperlink>
      <w:r w:rsidRPr="0039005D">
        <w:rPr>
          <w:rFonts w:ascii="Simplified Arabic" w:hAnsi="Simplified Arabic" w:hint="cs"/>
          <w:sz w:val="24"/>
          <w:szCs w:val="24"/>
          <w:rtl/>
        </w:rPr>
        <w:t xml:space="preserve"> </w:t>
      </w:r>
      <w:r>
        <w:rPr>
          <w:rFonts w:ascii="Simplified Arabic" w:hAnsi="Simplified Arabic" w:hint="cs"/>
          <w:sz w:val="24"/>
          <w:szCs w:val="24"/>
          <w:rtl/>
        </w:rPr>
        <w:t>-</w:t>
      </w:r>
      <w:r>
        <w:rPr>
          <w:rFonts w:ascii="Simplified Arabic" w:hAnsi="Simplified Arabic"/>
          <w:sz w:val="24"/>
          <w:szCs w:val="24"/>
          <w:rtl/>
        </w:rPr>
        <w:t xml:space="preserve"> موقع قوانين الشرق</w:t>
      </w:r>
      <w:r w:rsidRPr="00743D2A">
        <w:rPr>
          <w:rFonts w:ascii="Simplified Arabic" w:hAnsi="Simplified Arabic"/>
          <w:sz w:val="24"/>
          <w:szCs w:val="24"/>
          <w:rtl/>
        </w:rPr>
        <w:t xml:space="preserve"> </w:t>
      </w:r>
      <w:r>
        <w:rPr>
          <w:rFonts w:ascii="Simplified Arabic" w:hAnsi="Simplified Arabic" w:hint="cs"/>
          <w:sz w:val="24"/>
          <w:szCs w:val="24"/>
          <w:rtl/>
        </w:rPr>
        <w:t>-</w:t>
      </w:r>
      <w:r w:rsidRPr="00743D2A">
        <w:rPr>
          <w:rFonts w:ascii="Simplified Arabic" w:hAnsi="Simplified Arabic"/>
          <w:sz w:val="24"/>
          <w:szCs w:val="24"/>
          <w:rtl/>
        </w:rPr>
        <w:t xml:space="preserve"> تاريخ الإطلاع على الموقع 15/9/2016 .</w:t>
      </w:r>
    </w:p>
    <w:p w14:paraId="4798A697" w14:textId="77777777" w:rsidR="00BC076D" w:rsidRDefault="00BC076D" w:rsidP="00BC076D">
      <w:pPr>
        <w:pStyle w:val="FootnoteText"/>
        <w:jc w:val="both"/>
        <w:rPr>
          <w:rFonts w:ascii="Simplified Arabic" w:hAnsi="Simplified Arabic"/>
          <w:sz w:val="24"/>
          <w:szCs w:val="24"/>
          <w:rtl/>
        </w:rPr>
      </w:pPr>
    </w:p>
    <w:p w14:paraId="7DCBAF20" w14:textId="77777777" w:rsidR="00BC076D" w:rsidRDefault="00BC076D" w:rsidP="00BC076D">
      <w:pPr>
        <w:pStyle w:val="FootnoteText"/>
        <w:jc w:val="both"/>
        <w:rPr>
          <w:rFonts w:ascii="Simplified Arabic" w:hAnsi="Simplified Arabic"/>
          <w:sz w:val="24"/>
          <w:szCs w:val="24"/>
          <w:rtl/>
        </w:rPr>
      </w:pPr>
    </w:p>
    <w:p w14:paraId="4C93E95D" w14:textId="77777777" w:rsidR="00BC076D" w:rsidRDefault="00BC076D" w:rsidP="00BC076D">
      <w:pPr>
        <w:pStyle w:val="FootnoteText"/>
        <w:jc w:val="both"/>
        <w:rPr>
          <w:rFonts w:ascii="Simplified Arabic" w:hAnsi="Simplified Arabic"/>
          <w:sz w:val="24"/>
          <w:szCs w:val="24"/>
          <w:rtl/>
        </w:rPr>
      </w:pPr>
    </w:p>
    <w:p w14:paraId="18301E0D" w14:textId="77777777" w:rsidR="00BC076D" w:rsidRDefault="00BC076D" w:rsidP="00BC076D">
      <w:pPr>
        <w:pStyle w:val="FootnoteText"/>
        <w:jc w:val="both"/>
        <w:rPr>
          <w:rFonts w:ascii="Simplified Arabic" w:hAnsi="Simplified Arabic"/>
          <w:sz w:val="24"/>
          <w:szCs w:val="24"/>
          <w:rtl/>
        </w:rPr>
      </w:pPr>
    </w:p>
    <w:p w14:paraId="013D7A9C" w14:textId="77777777" w:rsidR="00BC076D" w:rsidRDefault="00BC076D" w:rsidP="00BC076D">
      <w:pPr>
        <w:pStyle w:val="FootnoteText"/>
        <w:jc w:val="both"/>
        <w:rPr>
          <w:rFonts w:ascii="Simplified Arabic" w:hAnsi="Simplified Arabic"/>
          <w:sz w:val="24"/>
          <w:szCs w:val="24"/>
          <w:rtl/>
        </w:rPr>
      </w:pPr>
    </w:p>
    <w:p w14:paraId="3451736B" w14:textId="77777777" w:rsidR="00BC076D" w:rsidRDefault="00BC076D" w:rsidP="00BC076D">
      <w:pPr>
        <w:pStyle w:val="FootnoteText"/>
        <w:jc w:val="both"/>
        <w:rPr>
          <w:rFonts w:ascii="Simplified Arabic" w:hAnsi="Simplified Arabic"/>
          <w:sz w:val="24"/>
          <w:szCs w:val="24"/>
          <w:rtl/>
        </w:rPr>
      </w:pPr>
    </w:p>
    <w:p w14:paraId="40787373" w14:textId="77777777" w:rsidR="00BC076D" w:rsidRDefault="00BC076D" w:rsidP="00BC076D">
      <w:pPr>
        <w:pStyle w:val="FootnoteText"/>
        <w:jc w:val="both"/>
        <w:rPr>
          <w:rFonts w:ascii="Simplified Arabic" w:hAnsi="Simplified Arabic"/>
          <w:sz w:val="24"/>
          <w:szCs w:val="24"/>
          <w:rtl/>
        </w:rPr>
      </w:pPr>
    </w:p>
    <w:p w14:paraId="44C799AD" w14:textId="77777777" w:rsidR="00BC076D" w:rsidRDefault="00BC076D" w:rsidP="00BC076D">
      <w:pPr>
        <w:pStyle w:val="FootnoteText"/>
        <w:jc w:val="both"/>
        <w:rPr>
          <w:rFonts w:ascii="Simplified Arabic" w:hAnsi="Simplified Arabic"/>
          <w:sz w:val="24"/>
          <w:szCs w:val="24"/>
          <w:rtl/>
        </w:rPr>
      </w:pPr>
    </w:p>
    <w:p w14:paraId="3BFA0FDF" w14:textId="77777777" w:rsidR="00BC076D" w:rsidRDefault="00BC076D" w:rsidP="00BC076D">
      <w:pPr>
        <w:pStyle w:val="FootnoteText"/>
        <w:jc w:val="both"/>
        <w:rPr>
          <w:rFonts w:ascii="Simplified Arabic" w:hAnsi="Simplified Arabic"/>
          <w:sz w:val="24"/>
          <w:szCs w:val="24"/>
          <w:rtl/>
        </w:rPr>
      </w:pPr>
    </w:p>
    <w:p w14:paraId="3C8E8E1D" w14:textId="77777777" w:rsidR="00BC076D" w:rsidRDefault="00BC076D" w:rsidP="00BC076D">
      <w:pPr>
        <w:pStyle w:val="FootnoteText"/>
        <w:jc w:val="both"/>
        <w:rPr>
          <w:rFonts w:ascii="Simplified Arabic" w:hAnsi="Simplified Arabic"/>
          <w:sz w:val="24"/>
          <w:szCs w:val="24"/>
          <w:rtl/>
        </w:rPr>
      </w:pPr>
    </w:p>
    <w:p w14:paraId="377656FC" w14:textId="796CFF92" w:rsidR="00BC076D" w:rsidRPr="00743D2A" w:rsidRDefault="006357DC" w:rsidP="00BC076D">
      <w:pPr>
        <w:pStyle w:val="FootnoteText"/>
        <w:jc w:val="center"/>
        <w:rPr>
          <w:rFonts w:ascii="Simplified Arabic" w:hAnsi="Simplified Arabic"/>
          <w:sz w:val="24"/>
          <w:szCs w:val="24"/>
        </w:rPr>
      </w:pPr>
      <w:r>
        <w:rPr>
          <w:rFonts w:ascii="Simplified Arabic" w:hAnsi="Simplified Arabic" w:hint="cs"/>
          <w:sz w:val="24"/>
          <w:szCs w:val="24"/>
          <w:rtl/>
        </w:rPr>
        <w:t>126</w:t>
      </w:r>
    </w:p>
  </w:footnote>
  <w:footnote w:id="26">
    <w:p w14:paraId="5C10063B" w14:textId="77777777" w:rsidR="006357DC" w:rsidRPr="00743D2A" w:rsidRDefault="006357DC" w:rsidP="006357DC">
      <w:pPr>
        <w:pStyle w:val="FootnoteText"/>
        <w:jc w:val="both"/>
        <w:rPr>
          <w:rFonts w:ascii="Simplified Arabic" w:hAnsi="Simplified Arabic"/>
          <w:sz w:val="24"/>
          <w:szCs w:val="24"/>
          <w:rtl/>
        </w:rPr>
      </w:pPr>
      <w:r w:rsidRPr="00743D2A">
        <w:rPr>
          <w:rFonts w:ascii="Simplified Arabic" w:hAnsi="Simplified Arabic"/>
          <w:sz w:val="24"/>
          <w:szCs w:val="24"/>
          <w:rtl/>
        </w:rPr>
        <w:t>على الدفع بسقوط دعوى عدم نفاذ التصرف بمضى ثلاثة أعوام من تاريخ عقد الرهن المؤرخ 1984/1/5 أو من تاريخ علم المميز ضده بالرهن فى 1984/6/19 مردود بأن المقرر فى المذهب المالكى ــ المطبق فى الدعوى ــ أنه إذا سكت صاحب الحق دون عذر مانع مدة من الزمان قدرها البعض بعشرين سنة و البعض الآخر بثلاثين سنة ثم طالب بحقه بعد ذلك</w:t>
      </w:r>
      <w:r>
        <w:rPr>
          <w:rFonts w:ascii="Simplified Arabic" w:hAnsi="Simplified Arabic" w:hint="cs"/>
          <w:sz w:val="24"/>
          <w:szCs w:val="24"/>
          <w:rtl/>
        </w:rPr>
        <w:t xml:space="preserve"> -     </w:t>
      </w:r>
      <w:r w:rsidRPr="00743D2A">
        <w:rPr>
          <w:rFonts w:ascii="Simplified Arabic" w:hAnsi="Simplified Arabic"/>
          <w:sz w:val="24"/>
          <w:szCs w:val="24"/>
          <w:rtl/>
        </w:rPr>
        <w:t xml:space="preserve"> فإن دعواه تكون غير مسموعة لما كان ذلك وكان المميز ضده قد أقام دعواه فى 1988/1/5 فإن المدة اللازمة لعدم سماع الدعوى لا تكون قد انقضت بعد </w:t>
      </w:r>
      <w:r>
        <w:rPr>
          <w:rFonts w:ascii="Simplified Arabic" w:hAnsi="Simplified Arabic" w:hint="cs"/>
          <w:sz w:val="24"/>
          <w:szCs w:val="24"/>
          <w:rtl/>
        </w:rPr>
        <w:t>-</w:t>
      </w:r>
      <w:r w:rsidRPr="00743D2A">
        <w:rPr>
          <w:rFonts w:ascii="Simplified Arabic" w:hAnsi="Simplified Arabic"/>
          <w:sz w:val="24"/>
          <w:szCs w:val="24"/>
          <w:rtl/>
        </w:rPr>
        <w:t xml:space="preserve"> ويعد سكوت الحكم المطعون فيه عن الرد على هذا الدفع بمثابة رفض ضمنى له</w:t>
      </w:r>
      <w:r w:rsidRPr="00743D2A">
        <w:rPr>
          <w:rFonts w:ascii="Simplified Arabic" w:hAnsi="Simplified Arabic" w:hint="cs"/>
          <w:sz w:val="24"/>
          <w:szCs w:val="24"/>
          <w:rtl/>
        </w:rPr>
        <w:t>"</w:t>
      </w:r>
      <w:r w:rsidRPr="00743D2A">
        <w:rPr>
          <w:rFonts w:ascii="Simplified Arabic" w:hAnsi="Simplified Arabic"/>
          <w:sz w:val="24"/>
          <w:szCs w:val="24"/>
          <w:rtl/>
        </w:rPr>
        <w:t xml:space="preserve"> </w:t>
      </w:r>
    </w:p>
    <w:p w14:paraId="6DCBE26B" w14:textId="77777777" w:rsidR="006357DC" w:rsidRPr="00743D2A" w:rsidRDefault="006357DC" w:rsidP="006357DC">
      <w:pPr>
        <w:pStyle w:val="FootnoteText"/>
        <w:jc w:val="both"/>
        <w:rPr>
          <w:rFonts w:ascii="Simplified Arabic" w:hAnsi="Simplified Arabic"/>
          <w:sz w:val="24"/>
          <w:szCs w:val="24"/>
        </w:rPr>
      </w:pPr>
      <w:r w:rsidRPr="00743D2A">
        <w:rPr>
          <w:rFonts w:ascii="Simplified Arabic" w:hAnsi="Simplified Arabic"/>
          <w:sz w:val="24"/>
          <w:szCs w:val="24"/>
          <w:rtl/>
        </w:rPr>
        <w:t xml:space="preserve">محكمة التمييز بدبي - الأحكام المدنية  </w:t>
      </w:r>
      <w:r>
        <w:rPr>
          <w:rFonts w:ascii="Simplified Arabic" w:hAnsi="Simplified Arabic" w:hint="cs"/>
          <w:sz w:val="24"/>
          <w:szCs w:val="24"/>
          <w:rtl/>
        </w:rPr>
        <w:t>-</w:t>
      </w:r>
      <w:r w:rsidRPr="00743D2A">
        <w:rPr>
          <w:rFonts w:ascii="Simplified Arabic" w:hAnsi="Simplified Arabic"/>
          <w:sz w:val="24"/>
          <w:szCs w:val="24"/>
          <w:rtl/>
        </w:rPr>
        <w:t xml:space="preserve">  الطعن رقم  47   لسنة  1990  قضائية  ، بتاريخ  23 - 2 - 1991   </w:t>
      </w:r>
      <w:r>
        <w:rPr>
          <w:rFonts w:ascii="Simplified Arabic" w:hAnsi="Simplified Arabic" w:hint="cs"/>
          <w:sz w:val="24"/>
          <w:szCs w:val="24"/>
          <w:rtl/>
        </w:rPr>
        <w:t>-</w:t>
      </w:r>
      <w:r w:rsidRPr="00743D2A">
        <w:rPr>
          <w:rFonts w:ascii="Simplified Arabic" w:hAnsi="Simplified Arabic"/>
          <w:sz w:val="24"/>
          <w:szCs w:val="24"/>
          <w:rtl/>
        </w:rPr>
        <w:t xml:space="preserve"> </w:t>
      </w:r>
      <w:r>
        <w:rPr>
          <w:rFonts w:ascii="Simplified Arabic" w:hAnsi="Simplified Arabic" w:hint="cs"/>
          <w:sz w:val="24"/>
          <w:szCs w:val="24"/>
          <w:rtl/>
        </w:rPr>
        <w:t xml:space="preserve"> </w:t>
      </w:r>
      <w:hyperlink r:id="rId3" w:history="1">
        <w:r w:rsidRPr="00BA17C6">
          <w:rPr>
            <w:rStyle w:val="Hyperlink"/>
            <w:rFonts w:ascii="Simplified Arabic" w:hAnsi="Simplified Arabic"/>
            <w:sz w:val="24"/>
            <w:szCs w:val="24"/>
          </w:rPr>
          <w:t>http://site.eastlaws.com</w:t>
        </w:r>
      </w:hyperlink>
      <w:r w:rsidRPr="0039005D">
        <w:rPr>
          <w:rFonts w:ascii="Simplified Arabic" w:hAnsi="Simplified Arabic" w:hint="cs"/>
          <w:sz w:val="24"/>
          <w:szCs w:val="24"/>
          <w:rtl/>
        </w:rPr>
        <w:t xml:space="preserve"> </w:t>
      </w:r>
      <w:r>
        <w:rPr>
          <w:rFonts w:ascii="Simplified Arabic" w:hAnsi="Simplified Arabic" w:hint="cs"/>
          <w:sz w:val="24"/>
          <w:szCs w:val="24"/>
          <w:rtl/>
        </w:rPr>
        <w:t>-</w:t>
      </w:r>
      <w:r>
        <w:rPr>
          <w:rFonts w:ascii="Simplified Arabic" w:hAnsi="Simplified Arabic"/>
          <w:sz w:val="24"/>
          <w:szCs w:val="24"/>
          <w:rtl/>
        </w:rPr>
        <w:t xml:space="preserve"> موقع قوانين الشرق</w:t>
      </w:r>
      <w:r w:rsidRPr="00743D2A">
        <w:rPr>
          <w:rFonts w:ascii="Simplified Arabic" w:hAnsi="Simplified Arabic"/>
          <w:sz w:val="24"/>
          <w:szCs w:val="24"/>
          <w:rtl/>
        </w:rPr>
        <w:t xml:space="preserve"> </w:t>
      </w:r>
      <w:r>
        <w:rPr>
          <w:rFonts w:ascii="Simplified Arabic" w:hAnsi="Simplified Arabic" w:hint="cs"/>
          <w:sz w:val="24"/>
          <w:szCs w:val="24"/>
          <w:rtl/>
        </w:rPr>
        <w:t>-</w:t>
      </w:r>
      <w:r w:rsidRPr="00743D2A">
        <w:rPr>
          <w:rFonts w:ascii="Simplified Arabic" w:hAnsi="Simplified Arabic"/>
          <w:sz w:val="24"/>
          <w:szCs w:val="24"/>
          <w:rtl/>
        </w:rPr>
        <w:t xml:space="preserve"> تاريخ الإطلاع على الموقع 15/9/2016 .</w:t>
      </w:r>
    </w:p>
    <w:p w14:paraId="41BA0CAC" w14:textId="77777777" w:rsidR="006357DC" w:rsidRPr="00743D2A" w:rsidRDefault="006357DC" w:rsidP="006357DC">
      <w:pPr>
        <w:pStyle w:val="FootnoteText"/>
        <w:jc w:val="both"/>
        <w:rPr>
          <w:rFonts w:ascii="Simplified Arabic" w:hAnsi="Simplified Arabic"/>
          <w:sz w:val="24"/>
          <w:szCs w:val="24"/>
          <w:lang w:val="en-US"/>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 إبراهيم سيد أحمد </w:t>
      </w:r>
      <w:r>
        <w:rPr>
          <w:rFonts w:ascii="Simplified Arabic" w:hAnsi="Simplified Arabic" w:hint="cs"/>
          <w:sz w:val="24"/>
          <w:szCs w:val="24"/>
          <w:rtl/>
        </w:rPr>
        <w:t>:</w:t>
      </w:r>
      <w:r w:rsidRPr="00743D2A">
        <w:rPr>
          <w:rFonts w:ascii="Simplified Arabic" w:hAnsi="Simplified Arabic"/>
          <w:sz w:val="24"/>
          <w:szCs w:val="24"/>
          <w:rtl/>
        </w:rPr>
        <w:t xml:space="preserve"> التقادم في المواد المدنية والجنائية </w:t>
      </w:r>
      <w:r>
        <w:rPr>
          <w:rFonts w:ascii="Simplified Arabic" w:hAnsi="Simplified Arabic" w:hint="cs"/>
          <w:sz w:val="24"/>
          <w:szCs w:val="24"/>
          <w:rtl/>
        </w:rPr>
        <w:t xml:space="preserve">- </w:t>
      </w:r>
      <w:r w:rsidRPr="00743D2A">
        <w:rPr>
          <w:rFonts w:ascii="Simplified Arabic" w:hAnsi="Simplified Arabic"/>
          <w:sz w:val="24"/>
          <w:szCs w:val="24"/>
          <w:rtl/>
        </w:rPr>
        <w:t xml:space="preserve"> ط 2010 </w:t>
      </w:r>
      <w:r>
        <w:rPr>
          <w:rFonts w:ascii="Simplified Arabic" w:hAnsi="Simplified Arabic" w:hint="cs"/>
          <w:sz w:val="24"/>
          <w:szCs w:val="24"/>
          <w:rtl/>
        </w:rPr>
        <w:t xml:space="preserve">- </w:t>
      </w:r>
      <w:r w:rsidRPr="00743D2A">
        <w:rPr>
          <w:rFonts w:ascii="Simplified Arabic" w:hAnsi="Simplified Arabic"/>
          <w:sz w:val="24"/>
          <w:szCs w:val="24"/>
          <w:rtl/>
        </w:rPr>
        <w:t>الراضي للنشر والتوزيع</w:t>
      </w:r>
      <w:r>
        <w:rPr>
          <w:rFonts w:ascii="Simplified Arabic" w:hAnsi="Simplified Arabic" w:hint="cs"/>
          <w:sz w:val="24"/>
          <w:szCs w:val="24"/>
          <w:rtl/>
        </w:rPr>
        <w:t xml:space="preserve">  - </w:t>
      </w:r>
      <w:r w:rsidRPr="00743D2A">
        <w:rPr>
          <w:rFonts w:ascii="Simplified Arabic" w:hAnsi="Simplified Arabic"/>
          <w:sz w:val="24"/>
          <w:szCs w:val="24"/>
          <w:rtl/>
        </w:rPr>
        <w:t xml:space="preserve">  ص 17. </w:t>
      </w:r>
    </w:p>
    <w:p w14:paraId="5D5A2100" w14:textId="1984E83F" w:rsidR="006357DC" w:rsidRPr="00743D2A" w:rsidRDefault="006357DC" w:rsidP="006357DC">
      <w:pPr>
        <w:pStyle w:val="FootnoteText"/>
        <w:jc w:val="both"/>
        <w:rPr>
          <w:rFonts w:ascii="Simplified Arabic" w:hAnsi="Simplified Arabic"/>
          <w:sz w:val="24"/>
          <w:szCs w:val="24"/>
          <w:lang w:val="en-US"/>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 محكمة التمييز بدبي </w:t>
      </w:r>
      <w:r>
        <w:rPr>
          <w:rFonts w:ascii="Simplified Arabic" w:hAnsi="Simplified Arabic" w:hint="cs"/>
          <w:sz w:val="24"/>
          <w:szCs w:val="24"/>
          <w:rtl/>
        </w:rPr>
        <w:t>-</w:t>
      </w:r>
      <w:r w:rsidRPr="00743D2A">
        <w:rPr>
          <w:rFonts w:ascii="Simplified Arabic" w:hAnsi="Simplified Arabic"/>
          <w:sz w:val="24"/>
          <w:szCs w:val="24"/>
          <w:rtl/>
        </w:rPr>
        <w:t xml:space="preserve"> الطعن رقم 214 لسنة 2016 مدني</w:t>
      </w:r>
      <w:r>
        <w:rPr>
          <w:rFonts w:ascii="Simplified Arabic" w:hAnsi="Simplified Arabic" w:hint="cs"/>
          <w:sz w:val="24"/>
          <w:szCs w:val="24"/>
          <w:rtl/>
        </w:rPr>
        <w:t xml:space="preserve"> -</w:t>
      </w:r>
      <w:r w:rsidRPr="00743D2A">
        <w:rPr>
          <w:rFonts w:ascii="Simplified Arabic" w:hAnsi="Simplified Arabic"/>
          <w:sz w:val="24"/>
          <w:szCs w:val="24"/>
          <w:rtl/>
        </w:rPr>
        <w:t xml:space="preserve"> جلسة الأثنين الموافق 16 من مايو سنة 2016 .</w:t>
      </w:r>
    </w:p>
  </w:footnote>
  <w:footnote w:id="27">
    <w:p w14:paraId="66E3756E" w14:textId="77777777" w:rsidR="006357DC" w:rsidRDefault="006357DC" w:rsidP="006357DC">
      <w:pPr>
        <w:pStyle w:val="FootnoteText"/>
        <w:jc w:val="both"/>
        <w:rPr>
          <w:rFonts w:ascii="Simplified Arabic" w:hAnsi="Simplified Arabic"/>
          <w:sz w:val="24"/>
          <w:szCs w:val="24"/>
          <w:rtl/>
        </w:rPr>
      </w:pPr>
    </w:p>
    <w:p w14:paraId="54D8B50F" w14:textId="77777777" w:rsidR="006357DC" w:rsidRDefault="006357DC" w:rsidP="006357DC">
      <w:pPr>
        <w:pStyle w:val="FootnoteText"/>
        <w:jc w:val="both"/>
        <w:rPr>
          <w:rFonts w:ascii="Simplified Arabic" w:hAnsi="Simplified Arabic"/>
          <w:sz w:val="24"/>
          <w:szCs w:val="24"/>
          <w:rtl/>
        </w:rPr>
      </w:pPr>
    </w:p>
    <w:p w14:paraId="574455B2" w14:textId="77777777" w:rsidR="006357DC" w:rsidRDefault="006357DC" w:rsidP="006357DC">
      <w:pPr>
        <w:pStyle w:val="FootnoteText"/>
        <w:jc w:val="both"/>
        <w:rPr>
          <w:rFonts w:ascii="Simplified Arabic" w:hAnsi="Simplified Arabic"/>
          <w:sz w:val="24"/>
          <w:szCs w:val="24"/>
          <w:rtl/>
        </w:rPr>
      </w:pPr>
    </w:p>
    <w:p w14:paraId="3AEC98D6" w14:textId="77777777" w:rsidR="006357DC" w:rsidRDefault="006357DC" w:rsidP="006357DC">
      <w:pPr>
        <w:pStyle w:val="FootnoteText"/>
        <w:jc w:val="both"/>
        <w:rPr>
          <w:rFonts w:ascii="Simplified Arabic" w:hAnsi="Simplified Arabic"/>
          <w:sz w:val="24"/>
          <w:szCs w:val="24"/>
          <w:rtl/>
        </w:rPr>
      </w:pPr>
    </w:p>
    <w:p w14:paraId="7A49BFB7" w14:textId="77777777" w:rsidR="006357DC" w:rsidRDefault="006357DC" w:rsidP="006357DC">
      <w:pPr>
        <w:pStyle w:val="FootnoteText"/>
        <w:jc w:val="both"/>
        <w:rPr>
          <w:rFonts w:ascii="Simplified Arabic" w:hAnsi="Simplified Arabic"/>
          <w:sz w:val="24"/>
          <w:szCs w:val="24"/>
          <w:rtl/>
        </w:rPr>
      </w:pPr>
    </w:p>
    <w:p w14:paraId="6FBCBED6" w14:textId="77777777" w:rsidR="006357DC" w:rsidRDefault="006357DC" w:rsidP="006357DC">
      <w:pPr>
        <w:pStyle w:val="FootnoteText"/>
        <w:jc w:val="both"/>
        <w:rPr>
          <w:rFonts w:ascii="Simplified Arabic" w:hAnsi="Simplified Arabic"/>
          <w:sz w:val="24"/>
          <w:szCs w:val="24"/>
          <w:rtl/>
        </w:rPr>
      </w:pPr>
    </w:p>
    <w:p w14:paraId="7E430B0A" w14:textId="77777777" w:rsidR="006357DC" w:rsidRDefault="006357DC" w:rsidP="006357DC">
      <w:pPr>
        <w:pStyle w:val="FootnoteText"/>
        <w:jc w:val="both"/>
        <w:rPr>
          <w:rFonts w:ascii="Simplified Arabic" w:hAnsi="Simplified Arabic"/>
          <w:sz w:val="24"/>
          <w:szCs w:val="24"/>
          <w:rtl/>
        </w:rPr>
      </w:pPr>
    </w:p>
    <w:p w14:paraId="6D894400" w14:textId="77777777" w:rsidR="006357DC" w:rsidRDefault="006357DC" w:rsidP="006357DC">
      <w:pPr>
        <w:pStyle w:val="FootnoteText"/>
        <w:jc w:val="both"/>
        <w:rPr>
          <w:rFonts w:ascii="Simplified Arabic" w:hAnsi="Simplified Arabic"/>
          <w:sz w:val="24"/>
          <w:szCs w:val="24"/>
          <w:rtl/>
        </w:rPr>
      </w:pPr>
    </w:p>
    <w:p w14:paraId="6F411239" w14:textId="77777777" w:rsidR="006357DC" w:rsidRDefault="006357DC" w:rsidP="006357DC">
      <w:pPr>
        <w:pStyle w:val="FootnoteText"/>
        <w:jc w:val="both"/>
        <w:rPr>
          <w:rFonts w:ascii="Simplified Arabic" w:hAnsi="Simplified Arabic"/>
          <w:sz w:val="24"/>
          <w:szCs w:val="24"/>
          <w:rtl/>
        </w:rPr>
      </w:pPr>
    </w:p>
    <w:p w14:paraId="759B2F14" w14:textId="77777777" w:rsidR="006357DC" w:rsidRDefault="006357DC" w:rsidP="006357DC">
      <w:pPr>
        <w:pStyle w:val="FootnoteText"/>
        <w:jc w:val="both"/>
        <w:rPr>
          <w:rFonts w:ascii="Simplified Arabic" w:hAnsi="Simplified Arabic"/>
          <w:sz w:val="24"/>
          <w:szCs w:val="24"/>
          <w:rtl/>
        </w:rPr>
      </w:pPr>
    </w:p>
    <w:p w14:paraId="4665192B" w14:textId="77777777" w:rsidR="006357DC" w:rsidRDefault="006357DC" w:rsidP="006357DC">
      <w:pPr>
        <w:pStyle w:val="FootnoteText"/>
        <w:jc w:val="both"/>
        <w:rPr>
          <w:rFonts w:ascii="Simplified Arabic" w:hAnsi="Simplified Arabic"/>
          <w:sz w:val="24"/>
          <w:szCs w:val="24"/>
          <w:rtl/>
        </w:rPr>
      </w:pPr>
    </w:p>
    <w:p w14:paraId="605466CD" w14:textId="77777777" w:rsidR="006357DC" w:rsidRDefault="006357DC" w:rsidP="006357DC">
      <w:pPr>
        <w:pStyle w:val="FootnoteText"/>
        <w:jc w:val="both"/>
        <w:rPr>
          <w:rFonts w:ascii="Simplified Arabic" w:hAnsi="Simplified Arabic"/>
          <w:sz w:val="24"/>
          <w:szCs w:val="24"/>
          <w:rtl/>
        </w:rPr>
      </w:pPr>
    </w:p>
    <w:p w14:paraId="00AEA642" w14:textId="77777777" w:rsidR="006357DC" w:rsidRDefault="006357DC" w:rsidP="006357DC">
      <w:pPr>
        <w:pStyle w:val="FootnoteText"/>
        <w:jc w:val="both"/>
        <w:rPr>
          <w:rFonts w:ascii="Simplified Arabic" w:hAnsi="Simplified Arabic"/>
          <w:sz w:val="24"/>
          <w:szCs w:val="24"/>
          <w:rtl/>
        </w:rPr>
      </w:pPr>
    </w:p>
    <w:p w14:paraId="2284ECA2" w14:textId="77777777" w:rsidR="006357DC" w:rsidRDefault="006357DC" w:rsidP="006357DC">
      <w:pPr>
        <w:pStyle w:val="FootnoteText"/>
        <w:jc w:val="both"/>
        <w:rPr>
          <w:rFonts w:ascii="Simplified Arabic" w:hAnsi="Simplified Arabic"/>
          <w:sz w:val="24"/>
          <w:szCs w:val="24"/>
          <w:rtl/>
        </w:rPr>
      </w:pPr>
    </w:p>
    <w:p w14:paraId="4662B8FF" w14:textId="77777777" w:rsidR="006357DC" w:rsidRDefault="006357DC" w:rsidP="006357DC">
      <w:pPr>
        <w:pStyle w:val="FootnoteText"/>
        <w:jc w:val="both"/>
        <w:rPr>
          <w:rFonts w:ascii="Simplified Arabic" w:hAnsi="Simplified Arabic"/>
          <w:sz w:val="24"/>
          <w:szCs w:val="24"/>
          <w:rtl/>
        </w:rPr>
      </w:pPr>
    </w:p>
    <w:p w14:paraId="7E945FEB" w14:textId="77777777" w:rsidR="006357DC" w:rsidRDefault="006357DC" w:rsidP="006357DC">
      <w:pPr>
        <w:pStyle w:val="FootnoteText"/>
        <w:jc w:val="both"/>
        <w:rPr>
          <w:rFonts w:ascii="Simplified Arabic" w:hAnsi="Simplified Arabic"/>
          <w:sz w:val="24"/>
          <w:szCs w:val="24"/>
          <w:rtl/>
        </w:rPr>
      </w:pPr>
    </w:p>
    <w:p w14:paraId="72FF194D" w14:textId="5BCD8CD3" w:rsidR="006357DC" w:rsidRDefault="006357DC" w:rsidP="006357DC">
      <w:pPr>
        <w:pStyle w:val="FootnoteText"/>
        <w:jc w:val="center"/>
        <w:rPr>
          <w:rFonts w:ascii="Simplified Arabic" w:hAnsi="Simplified Arabic"/>
          <w:sz w:val="24"/>
          <w:szCs w:val="24"/>
          <w:rtl/>
        </w:rPr>
      </w:pPr>
      <w:r>
        <w:rPr>
          <w:rFonts w:ascii="Simplified Arabic" w:hAnsi="Simplified Arabic" w:hint="cs"/>
          <w:sz w:val="24"/>
          <w:szCs w:val="24"/>
          <w:rtl/>
        </w:rPr>
        <w:t>127</w:t>
      </w:r>
    </w:p>
    <w:p w14:paraId="5A765E58" w14:textId="77777777" w:rsidR="006357DC" w:rsidRDefault="006357DC" w:rsidP="006357DC">
      <w:pPr>
        <w:pStyle w:val="FootnoteText"/>
        <w:jc w:val="both"/>
        <w:rPr>
          <w:rFonts w:ascii="Simplified Arabic" w:hAnsi="Simplified Arabic"/>
          <w:sz w:val="24"/>
          <w:szCs w:val="24"/>
          <w:rtl/>
        </w:rPr>
      </w:pPr>
    </w:p>
    <w:p w14:paraId="5D278B8D" w14:textId="77777777" w:rsidR="006357DC" w:rsidRDefault="006357DC" w:rsidP="006357DC">
      <w:pPr>
        <w:pStyle w:val="FootnoteText"/>
        <w:jc w:val="both"/>
        <w:rPr>
          <w:rFonts w:ascii="Simplified Arabic" w:hAnsi="Simplified Arabic"/>
          <w:sz w:val="24"/>
          <w:szCs w:val="24"/>
          <w:rtl/>
        </w:rPr>
      </w:pPr>
    </w:p>
    <w:p w14:paraId="0E8AD003" w14:textId="77777777" w:rsidR="006357DC" w:rsidRPr="00743D2A" w:rsidRDefault="006357DC" w:rsidP="006357DC">
      <w:pPr>
        <w:pStyle w:val="FootnoteText"/>
        <w:jc w:val="both"/>
        <w:rPr>
          <w:rFonts w:ascii="Simplified Arabic" w:hAnsi="Simplified Arabic"/>
          <w:sz w:val="24"/>
          <w:szCs w:val="24"/>
        </w:rPr>
      </w:pPr>
    </w:p>
  </w:footnote>
  <w:footnote w:id="28">
    <w:p w14:paraId="4C005A9D" w14:textId="77777777" w:rsidR="006357DC" w:rsidRPr="00743D2A" w:rsidRDefault="006357DC" w:rsidP="006357DC">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Pr>
          <w:rFonts w:ascii="Simplified Arabic" w:hAnsi="Simplified Arabic" w:hint="cs"/>
          <w:sz w:val="24"/>
          <w:szCs w:val="24"/>
          <w:rtl/>
        </w:rPr>
        <w:t>ال</w:t>
      </w:r>
      <w:r w:rsidRPr="00743D2A">
        <w:rPr>
          <w:rFonts w:ascii="Simplified Arabic" w:hAnsi="Simplified Arabic"/>
          <w:sz w:val="24"/>
          <w:szCs w:val="24"/>
          <w:rtl/>
        </w:rPr>
        <w:t xml:space="preserve">طعن رقم 138 لسنة 19 ق </w:t>
      </w:r>
      <w:r>
        <w:rPr>
          <w:rFonts w:ascii="Simplified Arabic" w:hAnsi="Simplified Arabic" w:hint="cs"/>
          <w:sz w:val="24"/>
          <w:szCs w:val="24"/>
          <w:rtl/>
        </w:rPr>
        <w:t>-</w:t>
      </w:r>
      <w:r w:rsidRPr="00743D2A">
        <w:rPr>
          <w:rFonts w:ascii="Simplified Arabic" w:hAnsi="Simplified Arabic"/>
          <w:sz w:val="24"/>
          <w:szCs w:val="24"/>
          <w:rtl/>
        </w:rPr>
        <w:t xml:space="preserve"> جلسة 26/5/1998 </w:t>
      </w:r>
      <w:r>
        <w:rPr>
          <w:rFonts w:ascii="Simplified Arabic" w:hAnsi="Simplified Arabic" w:hint="cs"/>
          <w:sz w:val="24"/>
          <w:szCs w:val="24"/>
          <w:rtl/>
        </w:rPr>
        <w:t>-</w:t>
      </w:r>
      <w:r w:rsidRPr="00743D2A">
        <w:rPr>
          <w:rFonts w:ascii="Simplified Arabic" w:hAnsi="Simplified Arabic"/>
          <w:sz w:val="24"/>
          <w:szCs w:val="24"/>
          <w:rtl/>
        </w:rPr>
        <w:t xml:space="preserve"> مجموعة الأحكام </w:t>
      </w:r>
      <w:r>
        <w:rPr>
          <w:rFonts w:ascii="Simplified Arabic" w:hAnsi="Simplified Arabic" w:hint="cs"/>
          <w:sz w:val="24"/>
          <w:szCs w:val="24"/>
          <w:rtl/>
        </w:rPr>
        <w:t>-</w:t>
      </w:r>
      <w:r w:rsidRPr="00743D2A">
        <w:rPr>
          <w:rFonts w:ascii="Simplified Arabic" w:hAnsi="Simplified Arabic"/>
          <w:sz w:val="24"/>
          <w:szCs w:val="24"/>
          <w:rtl/>
        </w:rPr>
        <w:t xml:space="preserve"> العدد الثاني 1998 </w:t>
      </w:r>
      <w:r>
        <w:rPr>
          <w:rFonts w:ascii="Simplified Arabic" w:hAnsi="Simplified Arabic" w:hint="cs"/>
          <w:sz w:val="24"/>
          <w:szCs w:val="24"/>
          <w:rtl/>
        </w:rPr>
        <w:t>-</w:t>
      </w:r>
      <w:r w:rsidRPr="00743D2A">
        <w:rPr>
          <w:rFonts w:ascii="Simplified Arabic" w:hAnsi="Simplified Arabic"/>
          <w:sz w:val="24"/>
          <w:szCs w:val="24"/>
          <w:rtl/>
        </w:rPr>
        <w:t xml:space="preserve"> ص 570 – 571 . </w:t>
      </w:r>
    </w:p>
  </w:footnote>
  <w:footnote w:id="29">
    <w:p w14:paraId="44A11319" w14:textId="77777777" w:rsidR="006357DC" w:rsidRDefault="006357DC" w:rsidP="006357DC">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علي </w:t>
      </w:r>
      <w:r>
        <w:rPr>
          <w:rFonts w:ascii="Simplified Arabic" w:hAnsi="Simplified Arabic" w:hint="cs"/>
          <w:sz w:val="24"/>
          <w:szCs w:val="24"/>
          <w:rtl/>
        </w:rPr>
        <w:t>أ</w:t>
      </w:r>
      <w:r w:rsidRPr="00743D2A">
        <w:rPr>
          <w:rFonts w:ascii="Simplified Arabic" w:hAnsi="Simplified Arabic"/>
          <w:sz w:val="24"/>
          <w:szCs w:val="24"/>
          <w:rtl/>
        </w:rPr>
        <w:t xml:space="preserve">حمد حسن </w:t>
      </w:r>
      <w:r>
        <w:rPr>
          <w:rFonts w:ascii="Simplified Arabic" w:hAnsi="Simplified Arabic" w:hint="cs"/>
          <w:sz w:val="24"/>
          <w:szCs w:val="24"/>
          <w:rtl/>
        </w:rPr>
        <w:t>:</w:t>
      </w:r>
      <w:r w:rsidRPr="00743D2A">
        <w:rPr>
          <w:rFonts w:ascii="Simplified Arabic" w:hAnsi="Simplified Arabic"/>
          <w:sz w:val="24"/>
          <w:szCs w:val="24"/>
          <w:rtl/>
        </w:rPr>
        <w:t xml:space="preserve"> التقادم في المواد المدنية والتجارية </w:t>
      </w:r>
      <w:r>
        <w:rPr>
          <w:rFonts w:ascii="Simplified Arabic" w:hAnsi="Simplified Arabic" w:hint="cs"/>
          <w:sz w:val="24"/>
          <w:szCs w:val="24"/>
          <w:rtl/>
        </w:rPr>
        <w:t>-</w:t>
      </w:r>
      <w:r w:rsidRPr="00743D2A">
        <w:rPr>
          <w:rFonts w:ascii="Simplified Arabic" w:hAnsi="Simplified Arabic"/>
          <w:sz w:val="24"/>
          <w:szCs w:val="24"/>
          <w:rtl/>
        </w:rPr>
        <w:t xml:space="preserve"> ط1985 </w:t>
      </w:r>
      <w:r>
        <w:rPr>
          <w:rFonts w:ascii="Simplified Arabic" w:hAnsi="Simplified Arabic" w:hint="cs"/>
          <w:sz w:val="24"/>
          <w:szCs w:val="24"/>
          <w:rtl/>
        </w:rPr>
        <w:t>-</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منشأة المعارف </w:t>
      </w:r>
      <w:r>
        <w:rPr>
          <w:rFonts w:ascii="Simplified Arabic" w:hAnsi="Simplified Arabic" w:hint="cs"/>
          <w:sz w:val="24"/>
          <w:szCs w:val="24"/>
          <w:rtl/>
        </w:rPr>
        <w:t>-</w:t>
      </w:r>
      <w:r w:rsidRPr="00743D2A">
        <w:rPr>
          <w:rFonts w:ascii="Simplified Arabic" w:hAnsi="Simplified Arabic"/>
          <w:sz w:val="24"/>
          <w:szCs w:val="24"/>
          <w:rtl/>
        </w:rPr>
        <w:t xml:space="preserve"> ص 280 . </w:t>
      </w:r>
    </w:p>
    <w:p w14:paraId="207F1DC6" w14:textId="77777777" w:rsidR="006357DC" w:rsidRDefault="006357DC" w:rsidP="006357DC">
      <w:pPr>
        <w:pStyle w:val="FootnoteText"/>
        <w:jc w:val="both"/>
        <w:rPr>
          <w:rFonts w:ascii="Simplified Arabic" w:hAnsi="Simplified Arabic"/>
          <w:sz w:val="24"/>
          <w:szCs w:val="24"/>
          <w:rtl/>
        </w:rPr>
      </w:pPr>
    </w:p>
    <w:p w14:paraId="44333F8C" w14:textId="77777777" w:rsidR="006357DC" w:rsidRDefault="006357DC" w:rsidP="006357DC">
      <w:pPr>
        <w:pStyle w:val="FootnoteText"/>
        <w:jc w:val="both"/>
        <w:rPr>
          <w:rFonts w:ascii="Simplified Arabic" w:hAnsi="Simplified Arabic"/>
          <w:sz w:val="24"/>
          <w:szCs w:val="24"/>
          <w:rtl/>
        </w:rPr>
      </w:pPr>
    </w:p>
    <w:p w14:paraId="5D5E8E92" w14:textId="77777777" w:rsidR="006357DC" w:rsidRDefault="006357DC" w:rsidP="006357DC">
      <w:pPr>
        <w:pStyle w:val="FootnoteText"/>
        <w:jc w:val="both"/>
        <w:rPr>
          <w:rFonts w:ascii="Simplified Arabic" w:hAnsi="Simplified Arabic"/>
          <w:sz w:val="24"/>
          <w:szCs w:val="24"/>
          <w:rtl/>
        </w:rPr>
      </w:pPr>
    </w:p>
    <w:p w14:paraId="307582A6" w14:textId="77777777" w:rsidR="006357DC" w:rsidRDefault="006357DC" w:rsidP="006357DC">
      <w:pPr>
        <w:pStyle w:val="FootnoteText"/>
        <w:jc w:val="both"/>
        <w:rPr>
          <w:rFonts w:ascii="Simplified Arabic" w:hAnsi="Simplified Arabic"/>
          <w:sz w:val="24"/>
          <w:szCs w:val="24"/>
          <w:rtl/>
        </w:rPr>
      </w:pPr>
    </w:p>
    <w:p w14:paraId="5D18BBAE" w14:textId="77777777" w:rsidR="006357DC" w:rsidRDefault="006357DC" w:rsidP="006357DC">
      <w:pPr>
        <w:pStyle w:val="FootnoteText"/>
        <w:jc w:val="both"/>
        <w:rPr>
          <w:rFonts w:ascii="Simplified Arabic" w:hAnsi="Simplified Arabic"/>
          <w:sz w:val="24"/>
          <w:szCs w:val="24"/>
          <w:rtl/>
        </w:rPr>
      </w:pPr>
    </w:p>
    <w:p w14:paraId="219810D7" w14:textId="77777777" w:rsidR="006357DC" w:rsidRDefault="006357DC" w:rsidP="006357DC">
      <w:pPr>
        <w:pStyle w:val="FootnoteText"/>
        <w:jc w:val="both"/>
        <w:rPr>
          <w:rFonts w:ascii="Simplified Arabic" w:hAnsi="Simplified Arabic"/>
          <w:sz w:val="24"/>
          <w:szCs w:val="24"/>
          <w:rtl/>
        </w:rPr>
      </w:pPr>
    </w:p>
    <w:p w14:paraId="3E032154" w14:textId="1AB1DE2E" w:rsidR="006357DC" w:rsidRPr="00743D2A" w:rsidRDefault="006357DC" w:rsidP="006357DC">
      <w:pPr>
        <w:pStyle w:val="FootnoteText"/>
        <w:jc w:val="center"/>
        <w:rPr>
          <w:rFonts w:ascii="Simplified Arabic" w:hAnsi="Simplified Arabic"/>
          <w:sz w:val="24"/>
          <w:szCs w:val="24"/>
        </w:rPr>
      </w:pPr>
      <w:r>
        <w:rPr>
          <w:rFonts w:ascii="Simplified Arabic" w:hAnsi="Simplified Arabic" w:hint="cs"/>
          <w:sz w:val="24"/>
          <w:szCs w:val="24"/>
          <w:rtl/>
        </w:rPr>
        <w:t>128</w:t>
      </w:r>
    </w:p>
  </w:footnote>
  <w:footnote w:id="30">
    <w:p w14:paraId="2123CA3F" w14:textId="77777777" w:rsidR="006357DC" w:rsidRPr="00743D2A" w:rsidRDefault="006357DC" w:rsidP="006357DC">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محمد شريف عبد الرحمن </w:t>
      </w:r>
      <w:r>
        <w:rPr>
          <w:rFonts w:ascii="Simplified Arabic" w:hAnsi="Simplified Arabic" w:hint="cs"/>
          <w:sz w:val="24"/>
          <w:szCs w:val="24"/>
          <w:rtl/>
        </w:rPr>
        <w:t>:</w:t>
      </w:r>
      <w:r w:rsidRPr="00743D2A">
        <w:rPr>
          <w:rFonts w:ascii="Simplified Arabic" w:hAnsi="Simplified Arabic"/>
          <w:sz w:val="24"/>
          <w:szCs w:val="24"/>
          <w:rtl/>
        </w:rPr>
        <w:t xml:space="preserve"> المبادئ الأساسية في الحقوق العينية التبعية</w:t>
      </w:r>
      <w:r w:rsidRPr="00743D2A">
        <w:rPr>
          <w:rFonts w:ascii="Simplified Arabic" w:hAnsi="Simplified Arabic" w:hint="cs"/>
          <w:sz w:val="24"/>
          <w:szCs w:val="24"/>
          <w:rtl/>
        </w:rPr>
        <w:t xml:space="preserve"> - الرهن الرسمي -</w:t>
      </w:r>
      <w:r w:rsidRPr="00743D2A">
        <w:rPr>
          <w:rFonts w:ascii="Simplified Arabic" w:hAnsi="Simplified Arabic"/>
          <w:sz w:val="24"/>
          <w:szCs w:val="24"/>
          <w:rtl/>
        </w:rPr>
        <w:t xml:space="preserve"> النشرون المتحدون</w:t>
      </w:r>
      <w:r>
        <w:rPr>
          <w:rFonts w:ascii="Simplified Arabic" w:hAnsi="Simplified Arabic" w:hint="cs"/>
          <w:sz w:val="24"/>
          <w:szCs w:val="24"/>
          <w:rtl/>
        </w:rPr>
        <w:t>-</w:t>
      </w:r>
      <w:r w:rsidRPr="00743D2A">
        <w:rPr>
          <w:rFonts w:ascii="Simplified Arabic" w:hAnsi="Simplified Arabic"/>
          <w:sz w:val="24"/>
          <w:szCs w:val="24"/>
          <w:rtl/>
        </w:rPr>
        <w:t xml:space="preserve"> ط 2007 </w:t>
      </w:r>
      <w:r>
        <w:rPr>
          <w:rFonts w:ascii="Simplified Arabic" w:hAnsi="Simplified Arabic" w:hint="cs"/>
          <w:sz w:val="24"/>
          <w:szCs w:val="24"/>
          <w:rtl/>
        </w:rPr>
        <w:t xml:space="preserve">- </w:t>
      </w:r>
      <w:r w:rsidRPr="00743D2A">
        <w:rPr>
          <w:rFonts w:ascii="Simplified Arabic" w:hAnsi="Simplified Arabic"/>
          <w:sz w:val="24"/>
          <w:szCs w:val="24"/>
          <w:rtl/>
        </w:rPr>
        <w:t xml:space="preserve"> ص 497.</w:t>
      </w:r>
    </w:p>
    <w:p w14:paraId="7512A8AD" w14:textId="77777777" w:rsidR="006357DC" w:rsidRPr="00743D2A" w:rsidRDefault="006357DC" w:rsidP="006357DC">
      <w:pPr>
        <w:pStyle w:val="FootnoteText"/>
        <w:jc w:val="both"/>
        <w:rPr>
          <w:rFonts w:ascii="Simplified Arabic" w:hAnsi="Simplified Arabic"/>
          <w:sz w:val="24"/>
          <w:szCs w:val="24"/>
        </w:rPr>
      </w:pPr>
    </w:p>
  </w:footnote>
  <w:footnote w:id="31">
    <w:p w14:paraId="67DDF439" w14:textId="77777777" w:rsidR="006357DC" w:rsidRDefault="006357DC" w:rsidP="006357DC">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وفقاً لنص المادة 473 معاملات مدنية : " لا ينقضي الحق بمرور الزمان ولكن لا تسمع الدعوى به على المنكر بانقضاء خمس عشرة سنة بغير عذر شرعي مع مراعاة ما وردت فيه أحكام خاصة. "</w:t>
      </w:r>
      <w:r w:rsidRPr="00743D2A">
        <w:rPr>
          <w:rFonts w:ascii="Simplified Arabic" w:hAnsi="Simplified Arabic"/>
          <w:sz w:val="24"/>
          <w:szCs w:val="24"/>
        </w:rPr>
        <w:t xml:space="preserve">   .</w:t>
      </w:r>
    </w:p>
    <w:p w14:paraId="41CB511A" w14:textId="77777777" w:rsidR="006357DC" w:rsidRDefault="006357DC" w:rsidP="006357DC">
      <w:pPr>
        <w:pStyle w:val="FootnoteText"/>
        <w:jc w:val="both"/>
        <w:rPr>
          <w:rFonts w:ascii="Simplified Arabic" w:hAnsi="Simplified Arabic"/>
          <w:sz w:val="24"/>
          <w:szCs w:val="24"/>
          <w:rtl/>
        </w:rPr>
      </w:pPr>
    </w:p>
    <w:p w14:paraId="1E2207C4" w14:textId="77777777" w:rsidR="006357DC" w:rsidRDefault="006357DC" w:rsidP="006357DC">
      <w:pPr>
        <w:pStyle w:val="FootnoteText"/>
        <w:jc w:val="both"/>
        <w:rPr>
          <w:rFonts w:ascii="Simplified Arabic" w:hAnsi="Simplified Arabic"/>
          <w:sz w:val="24"/>
          <w:szCs w:val="24"/>
          <w:rtl/>
        </w:rPr>
      </w:pPr>
    </w:p>
    <w:p w14:paraId="38A1F206" w14:textId="77777777" w:rsidR="006357DC" w:rsidRDefault="006357DC" w:rsidP="006357DC">
      <w:pPr>
        <w:pStyle w:val="FootnoteText"/>
        <w:jc w:val="both"/>
        <w:rPr>
          <w:rFonts w:ascii="Simplified Arabic" w:hAnsi="Simplified Arabic"/>
          <w:sz w:val="24"/>
          <w:szCs w:val="24"/>
          <w:rtl/>
        </w:rPr>
      </w:pPr>
    </w:p>
    <w:p w14:paraId="0B103983" w14:textId="77777777" w:rsidR="006357DC" w:rsidRDefault="006357DC" w:rsidP="006357DC">
      <w:pPr>
        <w:pStyle w:val="FootnoteText"/>
        <w:jc w:val="both"/>
        <w:rPr>
          <w:rFonts w:ascii="Simplified Arabic" w:hAnsi="Simplified Arabic"/>
          <w:sz w:val="24"/>
          <w:szCs w:val="24"/>
          <w:rtl/>
        </w:rPr>
      </w:pPr>
    </w:p>
    <w:p w14:paraId="76855A15" w14:textId="77777777" w:rsidR="006357DC" w:rsidRDefault="006357DC" w:rsidP="006357DC">
      <w:pPr>
        <w:pStyle w:val="FootnoteText"/>
        <w:jc w:val="both"/>
        <w:rPr>
          <w:rFonts w:ascii="Simplified Arabic" w:hAnsi="Simplified Arabic"/>
          <w:sz w:val="24"/>
          <w:szCs w:val="24"/>
          <w:rtl/>
        </w:rPr>
      </w:pPr>
    </w:p>
    <w:p w14:paraId="7B803136" w14:textId="77777777" w:rsidR="006357DC" w:rsidRDefault="006357DC" w:rsidP="006357DC">
      <w:pPr>
        <w:pStyle w:val="FootnoteText"/>
        <w:jc w:val="both"/>
        <w:rPr>
          <w:rFonts w:ascii="Simplified Arabic" w:hAnsi="Simplified Arabic"/>
          <w:sz w:val="24"/>
          <w:szCs w:val="24"/>
          <w:rtl/>
        </w:rPr>
      </w:pPr>
    </w:p>
    <w:p w14:paraId="3E245D43" w14:textId="77777777" w:rsidR="006357DC" w:rsidRDefault="006357DC" w:rsidP="006357DC">
      <w:pPr>
        <w:pStyle w:val="FootnoteText"/>
        <w:jc w:val="both"/>
        <w:rPr>
          <w:rFonts w:ascii="Simplified Arabic" w:hAnsi="Simplified Arabic"/>
          <w:sz w:val="24"/>
          <w:szCs w:val="24"/>
          <w:rtl/>
        </w:rPr>
      </w:pPr>
    </w:p>
    <w:p w14:paraId="5BBAEEAE" w14:textId="77777777" w:rsidR="006357DC" w:rsidRDefault="006357DC" w:rsidP="006357DC">
      <w:pPr>
        <w:pStyle w:val="FootnoteText"/>
        <w:jc w:val="both"/>
        <w:rPr>
          <w:rFonts w:ascii="Simplified Arabic" w:hAnsi="Simplified Arabic"/>
          <w:sz w:val="24"/>
          <w:szCs w:val="24"/>
          <w:rtl/>
        </w:rPr>
      </w:pPr>
    </w:p>
    <w:p w14:paraId="58C4BC6E" w14:textId="77777777" w:rsidR="006357DC" w:rsidRDefault="006357DC" w:rsidP="006357DC">
      <w:pPr>
        <w:pStyle w:val="FootnoteText"/>
        <w:jc w:val="both"/>
        <w:rPr>
          <w:rFonts w:ascii="Simplified Arabic" w:hAnsi="Simplified Arabic"/>
          <w:sz w:val="24"/>
          <w:szCs w:val="24"/>
          <w:rtl/>
        </w:rPr>
      </w:pPr>
    </w:p>
    <w:p w14:paraId="03D4D13C" w14:textId="77777777" w:rsidR="006357DC" w:rsidRDefault="006357DC" w:rsidP="006357DC">
      <w:pPr>
        <w:pStyle w:val="FootnoteText"/>
        <w:jc w:val="both"/>
        <w:rPr>
          <w:rFonts w:ascii="Simplified Arabic" w:hAnsi="Simplified Arabic"/>
          <w:sz w:val="24"/>
          <w:szCs w:val="24"/>
          <w:rtl/>
        </w:rPr>
      </w:pPr>
    </w:p>
    <w:p w14:paraId="3BC01CCA" w14:textId="77777777" w:rsidR="006357DC" w:rsidRDefault="006357DC" w:rsidP="006357DC">
      <w:pPr>
        <w:pStyle w:val="FootnoteText"/>
        <w:jc w:val="both"/>
        <w:rPr>
          <w:rFonts w:ascii="Simplified Arabic" w:hAnsi="Simplified Arabic"/>
          <w:sz w:val="24"/>
          <w:szCs w:val="24"/>
          <w:rtl/>
        </w:rPr>
      </w:pPr>
    </w:p>
    <w:p w14:paraId="01AAE917" w14:textId="77777777" w:rsidR="006357DC" w:rsidRDefault="006357DC" w:rsidP="006357DC">
      <w:pPr>
        <w:pStyle w:val="FootnoteText"/>
        <w:jc w:val="both"/>
        <w:rPr>
          <w:rFonts w:ascii="Simplified Arabic" w:hAnsi="Simplified Arabic"/>
          <w:sz w:val="24"/>
          <w:szCs w:val="24"/>
          <w:rtl/>
        </w:rPr>
      </w:pPr>
    </w:p>
    <w:p w14:paraId="2BE60639" w14:textId="78441CDF" w:rsidR="006357DC" w:rsidRPr="00743D2A" w:rsidRDefault="006357DC" w:rsidP="006357DC">
      <w:pPr>
        <w:pStyle w:val="FootnoteText"/>
        <w:jc w:val="center"/>
        <w:rPr>
          <w:rFonts w:ascii="Simplified Arabic" w:hAnsi="Simplified Arabic"/>
          <w:sz w:val="24"/>
          <w:szCs w:val="24"/>
        </w:rPr>
      </w:pPr>
      <w:r>
        <w:rPr>
          <w:rFonts w:ascii="Simplified Arabic" w:hAnsi="Simplified Arabic" w:hint="cs"/>
          <w:sz w:val="24"/>
          <w:szCs w:val="24"/>
          <w:rtl/>
        </w:rPr>
        <w:t>129</w:t>
      </w:r>
    </w:p>
  </w:footnote>
  <w:footnote w:id="32">
    <w:p w14:paraId="39A474B3" w14:textId="77777777" w:rsidR="006357DC" w:rsidRPr="005B0AD8" w:rsidRDefault="006357DC" w:rsidP="006357DC">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المذكرة الإيضاحية لقانون المعاملات المدنية ، المرجع السابق ، ص 475 </w:t>
      </w:r>
      <w:r>
        <w:rPr>
          <w:rFonts w:ascii="Simplified Arabic" w:hAnsi="Simplified Arabic" w:hint="cs"/>
          <w:sz w:val="24"/>
          <w:szCs w:val="24"/>
          <w:rtl/>
        </w:rPr>
        <w:t>، كما أن</w:t>
      </w:r>
      <w:r w:rsidRPr="005B0AD8">
        <w:rPr>
          <w:rtl/>
        </w:rPr>
        <w:t xml:space="preserve"> </w:t>
      </w:r>
      <w:r w:rsidRPr="005B0AD8">
        <w:rPr>
          <w:rFonts w:ascii="Simplified Arabic" w:hAnsi="Simplified Arabic"/>
          <w:sz w:val="24"/>
          <w:szCs w:val="24"/>
          <w:rtl/>
        </w:rPr>
        <w:t>محكمة النقض المصرية</w:t>
      </w:r>
      <w:r>
        <w:rPr>
          <w:rFonts w:ascii="Simplified Arabic" w:hAnsi="Simplified Arabic" w:hint="cs"/>
          <w:sz w:val="24"/>
          <w:szCs w:val="24"/>
          <w:rtl/>
        </w:rPr>
        <w:t xml:space="preserve"> أكدت على هذا المبدأ حين قررت : </w:t>
      </w:r>
      <w:r w:rsidRPr="005B0AD8">
        <w:rPr>
          <w:rFonts w:ascii="Simplified Arabic" w:hAnsi="Simplified Arabic"/>
          <w:sz w:val="24"/>
          <w:szCs w:val="24"/>
          <w:rtl/>
        </w:rPr>
        <w:t>أن الدفع بالتقادم لا يتعلق بالنظام</w:t>
      </w:r>
      <w:r>
        <w:rPr>
          <w:rFonts w:ascii="Simplified Arabic" w:hAnsi="Simplified Arabic" w:hint="cs"/>
          <w:sz w:val="24"/>
          <w:szCs w:val="24"/>
          <w:rtl/>
        </w:rPr>
        <w:t>=</w:t>
      </w:r>
      <w:r w:rsidRPr="005B0AD8">
        <w:rPr>
          <w:rFonts w:ascii="Simplified Arabic" w:hAnsi="Simplified Arabic"/>
          <w:sz w:val="24"/>
          <w:szCs w:val="24"/>
          <w:rtl/>
        </w:rPr>
        <w:t xml:space="preserve"> </w:t>
      </w:r>
      <w:r>
        <w:rPr>
          <w:rFonts w:ascii="Simplified Arabic" w:hAnsi="Simplified Arabic" w:hint="cs"/>
          <w:sz w:val="24"/>
          <w:szCs w:val="24"/>
          <w:rtl/>
        </w:rPr>
        <w:t>=</w:t>
      </w:r>
      <w:r w:rsidRPr="005B0AD8">
        <w:rPr>
          <w:rFonts w:ascii="Simplified Arabic" w:hAnsi="Simplified Arabic"/>
          <w:sz w:val="24"/>
          <w:szCs w:val="24"/>
          <w:rtl/>
        </w:rPr>
        <w:t xml:space="preserve">العام وينبغى التمسك به أمام محكمة الموضوع في عبارة واضحة لا تحتمل الإبهام لأن لكل تقادم شروطه وأحكامه ، وكان لا يغنى الطاعن في هذا الخصوص تمسكه بالتقادم دون بيان نوعه ، ومن ثم فإنه لا يعيب الحكم المطعون فيه أنه لم يبحث تقادم الحق في المطالبة بالمبلغ الذى يطالب به المطعون ضده الأول بصفته ويكون النعى عليه بهذا السبب على غير أساس . </w:t>
      </w:r>
    </w:p>
    <w:p w14:paraId="751DD44F" w14:textId="77777777" w:rsidR="006357DC" w:rsidRDefault="006357DC" w:rsidP="006357DC">
      <w:pPr>
        <w:pStyle w:val="FootnoteText"/>
        <w:jc w:val="both"/>
        <w:rPr>
          <w:rFonts w:ascii="Simplified Arabic" w:hAnsi="Simplified Arabic"/>
          <w:sz w:val="24"/>
          <w:szCs w:val="24"/>
          <w:rtl/>
        </w:rPr>
      </w:pPr>
      <w:r w:rsidRPr="005B0AD8">
        <w:rPr>
          <w:rFonts w:ascii="Simplified Arabic" w:hAnsi="Simplified Arabic"/>
          <w:sz w:val="24"/>
          <w:szCs w:val="24"/>
          <w:rtl/>
        </w:rPr>
        <w:t xml:space="preserve">(محكمة النقض المصرية -الطعن رقم 1198 لسنة 77 جلسة 2008/02/12 س 59 ص 193)موقع محكمة النقض المصرية  </w:t>
      </w:r>
      <w:r w:rsidRPr="005B0AD8">
        <w:rPr>
          <w:rFonts w:ascii="Simplified Arabic" w:hAnsi="Simplified Arabic"/>
          <w:sz w:val="24"/>
          <w:szCs w:val="24"/>
        </w:rPr>
        <w:t>www.cc.gov.eg</w:t>
      </w:r>
      <w:r w:rsidRPr="005B0AD8">
        <w:rPr>
          <w:rFonts w:ascii="Simplified Arabic" w:hAnsi="Simplified Arabic"/>
          <w:sz w:val="24"/>
          <w:szCs w:val="24"/>
          <w:rtl/>
        </w:rPr>
        <w:t xml:space="preserve">  ، تاريخ الإطلاع 20/11/2016 .</w:t>
      </w:r>
    </w:p>
    <w:p w14:paraId="3D5381BA" w14:textId="77777777" w:rsidR="006357DC" w:rsidRDefault="006357DC" w:rsidP="006357DC">
      <w:pPr>
        <w:pStyle w:val="FootnoteText"/>
        <w:jc w:val="both"/>
        <w:rPr>
          <w:rFonts w:ascii="Simplified Arabic" w:hAnsi="Simplified Arabic"/>
          <w:sz w:val="24"/>
          <w:szCs w:val="24"/>
          <w:rtl/>
        </w:rPr>
      </w:pPr>
    </w:p>
    <w:p w14:paraId="1044EAA8" w14:textId="77777777" w:rsidR="006357DC" w:rsidRDefault="006357DC" w:rsidP="006357DC">
      <w:pPr>
        <w:pStyle w:val="FootnoteText"/>
        <w:jc w:val="both"/>
        <w:rPr>
          <w:rFonts w:ascii="Simplified Arabic" w:hAnsi="Simplified Arabic"/>
          <w:sz w:val="24"/>
          <w:szCs w:val="24"/>
          <w:rtl/>
        </w:rPr>
      </w:pPr>
    </w:p>
    <w:p w14:paraId="5420057A" w14:textId="77777777" w:rsidR="006357DC" w:rsidRDefault="006357DC" w:rsidP="006357DC">
      <w:pPr>
        <w:pStyle w:val="FootnoteText"/>
        <w:jc w:val="both"/>
        <w:rPr>
          <w:rFonts w:ascii="Simplified Arabic" w:hAnsi="Simplified Arabic"/>
          <w:sz w:val="24"/>
          <w:szCs w:val="24"/>
          <w:rtl/>
        </w:rPr>
      </w:pPr>
    </w:p>
    <w:p w14:paraId="7F26AA5E" w14:textId="77777777" w:rsidR="006357DC" w:rsidRDefault="006357DC" w:rsidP="006357DC">
      <w:pPr>
        <w:pStyle w:val="FootnoteText"/>
        <w:jc w:val="both"/>
        <w:rPr>
          <w:rFonts w:ascii="Simplified Arabic" w:hAnsi="Simplified Arabic"/>
          <w:sz w:val="24"/>
          <w:szCs w:val="24"/>
          <w:rtl/>
        </w:rPr>
      </w:pPr>
    </w:p>
    <w:p w14:paraId="2DEADF46" w14:textId="77777777" w:rsidR="006357DC" w:rsidRDefault="006357DC" w:rsidP="006357DC">
      <w:pPr>
        <w:pStyle w:val="FootnoteText"/>
        <w:jc w:val="both"/>
        <w:rPr>
          <w:rFonts w:ascii="Simplified Arabic" w:hAnsi="Simplified Arabic"/>
          <w:sz w:val="24"/>
          <w:szCs w:val="24"/>
          <w:rtl/>
        </w:rPr>
      </w:pPr>
    </w:p>
    <w:p w14:paraId="3D5A0851" w14:textId="77777777" w:rsidR="006357DC" w:rsidRDefault="006357DC" w:rsidP="006357DC">
      <w:pPr>
        <w:pStyle w:val="FootnoteText"/>
        <w:jc w:val="both"/>
        <w:rPr>
          <w:rFonts w:ascii="Simplified Arabic" w:hAnsi="Simplified Arabic"/>
          <w:sz w:val="24"/>
          <w:szCs w:val="24"/>
          <w:rtl/>
        </w:rPr>
      </w:pPr>
    </w:p>
    <w:p w14:paraId="45DB01A8" w14:textId="77777777" w:rsidR="006357DC" w:rsidRDefault="006357DC" w:rsidP="006357DC">
      <w:pPr>
        <w:pStyle w:val="FootnoteText"/>
        <w:jc w:val="both"/>
        <w:rPr>
          <w:rFonts w:ascii="Simplified Arabic" w:hAnsi="Simplified Arabic"/>
          <w:sz w:val="24"/>
          <w:szCs w:val="24"/>
          <w:rtl/>
        </w:rPr>
      </w:pPr>
    </w:p>
    <w:p w14:paraId="6622C1B5" w14:textId="77777777" w:rsidR="006357DC" w:rsidRDefault="006357DC" w:rsidP="006357DC">
      <w:pPr>
        <w:pStyle w:val="FootnoteText"/>
        <w:jc w:val="both"/>
        <w:rPr>
          <w:rFonts w:ascii="Simplified Arabic" w:hAnsi="Simplified Arabic"/>
          <w:sz w:val="24"/>
          <w:szCs w:val="24"/>
          <w:rtl/>
        </w:rPr>
      </w:pPr>
    </w:p>
    <w:p w14:paraId="40BBD303" w14:textId="292525DD" w:rsidR="006357DC" w:rsidRDefault="006357DC" w:rsidP="006357DC">
      <w:pPr>
        <w:pStyle w:val="FootnoteText"/>
        <w:jc w:val="center"/>
        <w:rPr>
          <w:rFonts w:ascii="Simplified Arabic" w:hAnsi="Simplified Arabic"/>
          <w:sz w:val="24"/>
          <w:szCs w:val="24"/>
          <w:rtl/>
        </w:rPr>
      </w:pPr>
      <w:r>
        <w:rPr>
          <w:rFonts w:ascii="Simplified Arabic" w:hAnsi="Simplified Arabic" w:hint="cs"/>
          <w:sz w:val="24"/>
          <w:szCs w:val="24"/>
          <w:rtl/>
        </w:rPr>
        <w:t>130</w:t>
      </w:r>
    </w:p>
    <w:p w14:paraId="1466E060" w14:textId="77777777" w:rsidR="006357DC" w:rsidRPr="00743D2A" w:rsidRDefault="006357DC" w:rsidP="006357DC">
      <w:pPr>
        <w:pStyle w:val="FootnoteText"/>
        <w:jc w:val="both"/>
        <w:rPr>
          <w:rFonts w:ascii="Simplified Arabic" w:hAnsi="Simplified Arabic"/>
          <w:sz w:val="24"/>
          <w:szCs w:val="24"/>
        </w:rPr>
      </w:pPr>
    </w:p>
  </w:footnote>
  <w:footnote w:id="33">
    <w:p w14:paraId="5E815507" w14:textId="77777777" w:rsidR="006357DC" w:rsidRPr="00743D2A" w:rsidRDefault="006357DC" w:rsidP="006357DC">
      <w:pPr>
        <w:pStyle w:val="FootnoteText"/>
        <w:jc w:val="both"/>
        <w:rPr>
          <w:rFonts w:ascii="Simplified Arabic" w:hAnsi="Simplified Arabic"/>
          <w:sz w:val="24"/>
          <w:szCs w:val="24"/>
        </w:rPr>
      </w:pPr>
    </w:p>
  </w:footnote>
  <w:footnote w:id="34">
    <w:p w14:paraId="5B417126" w14:textId="77777777" w:rsidR="006357DC" w:rsidRDefault="006357DC" w:rsidP="006357DC">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تقابل نص المادة 388 من القانون المدني المصري . </w:t>
      </w:r>
    </w:p>
    <w:p w14:paraId="5959249D" w14:textId="77777777" w:rsidR="006357DC" w:rsidRDefault="006357DC" w:rsidP="006357DC">
      <w:pPr>
        <w:pStyle w:val="FootnoteText"/>
        <w:jc w:val="both"/>
        <w:rPr>
          <w:rFonts w:ascii="Simplified Arabic" w:hAnsi="Simplified Arabic"/>
          <w:sz w:val="24"/>
          <w:szCs w:val="24"/>
          <w:rtl/>
        </w:rPr>
      </w:pPr>
    </w:p>
    <w:p w14:paraId="34C8726A" w14:textId="77777777" w:rsidR="006357DC" w:rsidRDefault="006357DC" w:rsidP="006357DC">
      <w:pPr>
        <w:pStyle w:val="FootnoteText"/>
        <w:jc w:val="both"/>
        <w:rPr>
          <w:rFonts w:ascii="Simplified Arabic" w:hAnsi="Simplified Arabic"/>
          <w:sz w:val="24"/>
          <w:szCs w:val="24"/>
          <w:rtl/>
        </w:rPr>
      </w:pPr>
    </w:p>
    <w:p w14:paraId="2FC80681" w14:textId="77777777" w:rsidR="006357DC" w:rsidRDefault="006357DC" w:rsidP="006357DC">
      <w:pPr>
        <w:pStyle w:val="FootnoteText"/>
        <w:jc w:val="both"/>
        <w:rPr>
          <w:rFonts w:ascii="Simplified Arabic" w:hAnsi="Simplified Arabic"/>
          <w:sz w:val="24"/>
          <w:szCs w:val="24"/>
          <w:rtl/>
        </w:rPr>
      </w:pPr>
    </w:p>
    <w:p w14:paraId="62F7074D" w14:textId="77777777" w:rsidR="006357DC" w:rsidRDefault="006357DC" w:rsidP="006357DC">
      <w:pPr>
        <w:pStyle w:val="FootnoteText"/>
        <w:jc w:val="both"/>
        <w:rPr>
          <w:rFonts w:ascii="Simplified Arabic" w:hAnsi="Simplified Arabic"/>
          <w:sz w:val="24"/>
          <w:szCs w:val="24"/>
          <w:rtl/>
        </w:rPr>
      </w:pPr>
    </w:p>
    <w:p w14:paraId="5F2CCF7B" w14:textId="77777777" w:rsidR="006357DC" w:rsidRDefault="006357DC" w:rsidP="006357DC">
      <w:pPr>
        <w:pStyle w:val="FootnoteText"/>
        <w:jc w:val="both"/>
        <w:rPr>
          <w:rFonts w:ascii="Simplified Arabic" w:hAnsi="Simplified Arabic"/>
          <w:sz w:val="24"/>
          <w:szCs w:val="24"/>
          <w:rtl/>
        </w:rPr>
      </w:pPr>
    </w:p>
    <w:p w14:paraId="5F347B8B" w14:textId="77777777" w:rsidR="006357DC" w:rsidRDefault="006357DC" w:rsidP="006357DC">
      <w:pPr>
        <w:pStyle w:val="FootnoteText"/>
        <w:jc w:val="both"/>
        <w:rPr>
          <w:rFonts w:ascii="Simplified Arabic" w:hAnsi="Simplified Arabic"/>
          <w:sz w:val="24"/>
          <w:szCs w:val="24"/>
          <w:rtl/>
        </w:rPr>
      </w:pPr>
    </w:p>
    <w:p w14:paraId="3A025FDB" w14:textId="77777777" w:rsidR="006357DC" w:rsidRDefault="006357DC" w:rsidP="006357DC">
      <w:pPr>
        <w:pStyle w:val="FootnoteText"/>
        <w:jc w:val="both"/>
        <w:rPr>
          <w:rFonts w:ascii="Simplified Arabic" w:hAnsi="Simplified Arabic"/>
          <w:sz w:val="24"/>
          <w:szCs w:val="24"/>
          <w:rtl/>
        </w:rPr>
      </w:pPr>
    </w:p>
    <w:p w14:paraId="6CCA6B1B" w14:textId="77777777" w:rsidR="006357DC" w:rsidRDefault="006357DC" w:rsidP="006357DC">
      <w:pPr>
        <w:pStyle w:val="FootnoteText"/>
        <w:jc w:val="both"/>
        <w:rPr>
          <w:rFonts w:ascii="Simplified Arabic" w:hAnsi="Simplified Arabic"/>
          <w:sz w:val="24"/>
          <w:szCs w:val="24"/>
          <w:rtl/>
        </w:rPr>
      </w:pPr>
    </w:p>
    <w:p w14:paraId="2863EA4E" w14:textId="77777777" w:rsidR="006357DC" w:rsidRDefault="006357DC" w:rsidP="006357DC">
      <w:pPr>
        <w:pStyle w:val="FootnoteText"/>
        <w:jc w:val="both"/>
        <w:rPr>
          <w:rFonts w:ascii="Simplified Arabic" w:hAnsi="Simplified Arabic"/>
          <w:sz w:val="24"/>
          <w:szCs w:val="24"/>
          <w:rtl/>
        </w:rPr>
      </w:pPr>
    </w:p>
    <w:p w14:paraId="250AEA6A" w14:textId="77777777" w:rsidR="006357DC" w:rsidRDefault="006357DC" w:rsidP="006357DC">
      <w:pPr>
        <w:pStyle w:val="FootnoteText"/>
        <w:jc w:val="both"/>
        <w:rPr>
          <w:rFonts w:ascii="Simplified Arabic" w:hAnsi="Simplified Arabic"/>
          <w:sz w:val="24"/>
          <w:szCs w:val="24"/>
          <w:rtl/>
        </w:rPr>
      </w:pPr>
    </w:p>
    <w:p w14:paraId="6E5C80D4" w14:textId="77777777" w:rsidR="006357DC" w:rsidRDefault="006357DC" w:rsidP="006357DC">
      <w:pPr>
        <w:pStyle w:val="FootnoteText"/>
        <w:jc w:val="both"/>
        <w:rPr>
          <w:rFonts w:ascii="Simplified Arabic" w:hAnsi="Simplified Arabic"/>
          <w:sz w:val="24"/>
          <w:szCs w:val="24"/>
          <w:rtl/>
        </w:rPr>
      </w:pPr>
    </w:p>
    <w:p w14:paraId="0C255BA8" w14:textId="77777777" w:rsidR="006357DC" w:rsidRDefault="006357DC" w:rsidP="006357DC">
      <w:pPr>
        <w:pStyle w:val="FootnoteText"/>
        <w:jc w:val="both"/>
        <w:rPr>
          <w:rFonts w:ascii="Simplified Arabic" w:hAnsi="Simplified Arabic"/>
          <w:sz w:val="24"/>
          <w:szCs w:val="24"/>
          <w:rtl/>
        </w:rPr>
      </w:pPr>
    </w:p>
    <w:p w14:paraId="17FCB30B" w14:textId="77777777" w:rsidR="006357DC" w:rsidRDefault="006357DC" w:rsidP="006357DC">
      <w:pPr>
        <w:pStyle w:val="FootnoteText"/>
        <w:jc w:val="both"/>
        <w:rPr>
          <w:rFonts w:ascii="Simplified Arabic" w:hAnsi="Simplified Arabic"/>
          <w:sz w:val="24"/>
          <w:szCs w:val="24"/>
          <w:rtl/>
        </w:rPr>
      </w:pPr>
    </w:p>
    <w:p w14:paraId="02741B22" w14:textId="77777777" w:rsidR="006357DC" w:rsidRDefault="006357DC" w:rsidP="006357DC">
      <w:pPr>
        <w:pStyle w:val="FootnoteText"/>
        <w:jc w:val="both"/>
        <w:rPr>
          <w:rFonts w:ascii="Simplified Arabic" w:hAnsi="Simplified Arabic"/>
          <w:sz w:val="24"/>
          <w:szCs w:val="24"/>
          <w:rtl/>
        </w:rPr>
      </w:pPr>
    </w:p>
    <w:p w14:paraId="601F7A34" w14:textId="77777777" w:rsidR="006357DC" w:rsidRDefault="006357DC" w:rsidP="006357DC">
      <w:pPr>
        <w:pStyle w:val="FootnoteText"/>
        <w:jc w:val="both"/>
        <w:rPr>
          <w:rFonts w:ascii="Simplified Arabic" w:hAnsi="Simplified Arabic"/>
          <w:sz w:val="24"/>
          <w:szCs w:val="24"/>
          <w:rtl/>
        </w:rPr>
      </w:pPr>
    </w:p>
    <w:p w14:paraId="40FC70BF" w14:textId="77777777" w:rsidR="006357DC" w:rsidRDefault="006357DC" w:rsidP="006357DC">
      <w:pPr>
        <w:pStyle w:val="FootnoteText"/>
        <w:jc w:val="both"/>
        <w:rPr>
          <w:rFonts w:ascii="Simplified Arabic" w:hAnsi="Simplified Arabic"/>
          <w:sz w:val="24"/>
          <w:szCs w:val="24"/>
          <w:rtl/>
        </w:rPr>
      </w:pPr>
    </w:p>
    <w:p w14:paraId="18256F0B" w14:textId="77777777" w:rsidR="006357DC" w:rsidRDefault="006357DC" w:rsidP="006357DC">
      <w:pPr>
        <w:pStyle w:val="FootnoteText"/>
        <w:jc w:val="both"/>
        <w:rPr>
          <w:rFonts w:ascii="Simplified Arabic" w:hAnsi="Simplified Arabic"/>
          <w:sz w:val="24"/>
          <w:szCs w:val="24"/>
          <w:rtl/>
        </w:rPr>
      </w:pPr>
    </w:p>
    <w:p w14:paraId="7C973075" w14:textId="77777777" w:rsidR="006357DC" w:rsidRDefault="006357DC" w:rsidP="006357DC">
      <w:pPr>
        <w:pStyle w:val="FootnoteText"/>
        <w:jc w:val="both"/>
        <w:rPr>
          <w:rFonts w:ascii="Simplified Arabic" w:hAnsi="Simplified Arabic"/>
          <w:sz w:val="24"/>
          <w:szCs w:val="24"/>
          <w:rtl/>
        </w:rPr>
      </w:pPr>
    </w:p>
    <w:p w14:paraId="3F2982C7" w14:textId="77777777" w:rsidR="006357DC" w:rsidRDefault="006357DC" w:rsidP="006357DC">
      <w:pPr>
        <w:pStyle w:val="FootnoteText"/>
        <w:jc w:val="both"/>
        <w:rPr>
          <w:rFonts w:ascii="Simplified Arabic" w:hAnsi="Simplified Arabic"/>
          <w:sz w:val="24"/>
          <w:szCs w:val="24"/>
          <w:rtl/>
        </w:rPr>
      </w:pPr>
    </w:p>
    <w:p w14:paraId="07473393" w14:textId="77777777" w:rsidR="006357DC" w:rsidRDefault="006357DC" w:rsidP="006357DC">
      <w:pPr>
        <w:pStyle w:val="FootnoteText"/>
        <w:jc w:val="both"/>
        <w:rPr>
          <w:rFonts w:ascii="Simplified Arabic" w:hAnsi="Simplified Arabic"/>
          <w:sz w:val="24"/>
          <w:szCs w:val="24"/>
          <w:rtl/>
        </w:rPr>
      </w:pPr>
    </w:p>
    <w:p w14:paraId="72358F12" w14:textId="77777777" w:rsidR="006357DC" w:rsidRDefault="006357DC" w:rsidP="006357DC">
      <w:pPr>
        <w:pStyle w:val="FootnoteText"/>
        <w:jc w:val="both"/>
        <w:rPr>
          <w:rFonts w:ascii="Simplified Arabic" w:hAnsi="Simplified Arabic"/>
          <w:sz w:val="24"/>
          <w:szCs w:val="24"/>
          <w:rtl/>
        </w:rPr>
      </w:pPr>
    </w:p>
    <w:p w14:paraId="2CFA4F90" w14:textId="77777777" w:rsidR="006357DC" w:rsidRDefault="006357DC" w:rsidP="006357DC">
      <w:pPr>
        <w:pStyle w:val="FootnoteText"/>
        <w:jc w:val="both"/>
        <w:rPr>
          <w:rFonts w:ascii="Simplified Arabic" w:hAnsi="Simplified Arabic"/>
          <w:sz w:val="24"/>
          <w:szCs w:val="24"/>
          <w:rtl/>
        </w:rPr>
      </w:pPr>
    </w:p>
    <w:p w14:paraId="1BDB7F5C" w14:textId="77777777" w:rsidR="006357DC" w:rsidRDefault="006357DC" w:rsidP="006357DC">
      <w:pPr>
        <w:pStyle w:val="FootnoteText"/>
        <w:jc w:val="both"/>
        <w:rPr>
          <w:rFonts w:ascii="Simplified Arabic" w:hAnsi="Simplified Arabic"/>
          <w:sz w:val="24"/>
          <w:szCs w:val="24"/>
          <w:rtl/>
        </w:rPr>
      </w:pPr>
    </w:p>
    <w:p w14:paraId="45C29E19" w14:textId="036FA356" w:rsidR="006357DC" w:rsidRPr="00743D2A" w:rsidRDefault="006357DC" w:rsidP="006357DC">
      <w:pPr>
        <w:pStyle w:val="FootnoteText"/>
        <w:jc w:val="center"/>
        <w:rPr>
          <w:rFonts w:ascii="Simplified Arabic" w:hAnsi="Simplified Arabic"/>
          <w:sz w:val="24"/>
          <w:szCs w:val="24"/>
        </w:rPr>
      </w:pPr>
      <w:r>
        <w:rPr>
          <w:rFonts w:ascii="Simplified Arabic" w:hAnsi="Simplified Arabic" w:hint="cs"/>
          <w:sz w:val="24"/>
          <w:szCs w:val="24"/>
          <w:rtl/>
        </w:rPr>
        <w:t>131</w:t>
      </w:r>
    </w:p>
  </w:footnote>
  <w:footnote w:id="35">
    <w:p w14:paraId="228A78F9" w14:textId="77777777" w:rsidR="006357DC" w:rsidRDefault="006357DC" w:rsidP="006357DC">
      <w:pPr>
        <w:pStyle w:val="FootnoteText"/>
        <w:jc w:val="both"/>
        <w:rPr>
          <w:sz w:val="24"/>
          <w:szCs w:val="24"/>
          <w:rtl/>
        </w:rPr>
      </w:pPr>
      <w:r w:rsidRPr="00743D2A">
        <w:rPr>
          <w:rStyle w:val="FootnoteReference"/>
          <w:sz w:val="24"/>
          <w:szCs w:val="24"/>
        </w:rPr>
        <w:footnoteRef/>
      </w:r>
      <w:r w:rsidRPr="00743D2A">
        <w:rPr>
          <w:sz w:val="24"/>
          <w:szCs w:val="24"/>
          <w:rtl/>
        </w:rPr>
        <w:t xml:space="preserve"> </w:t>
      </w:r>
      <w:r w:rsidRPr="00743D2A">
        <w:rPr>
          <w:rFonts w:hint="cs"/>
          <w:sz w:val="24"/>
          <w:szCs w:val="24"/>
          <w:rtl/>
        </w:rPr>
        <w:t xml:space="preserve">) </w:t>
      </w:r>
      <w:r w:rsidRPr="00743D2A">
        <w:rPr>
          <w:sz w:val="24"/>
          <w:szCs w:val="24"/>
          <w:rtl/>
        </w:rPr>
        <w:t>  </w:t>
      </w:r>
      <w:r w:rsidRPr="00743D2A">
        <w:rPr>
          <w:rFonts w:hint="cs"/>
          <w:sz w:val="24"/>
          <w:szCs w:val="24"/>
          <w:rtl/>
        </w:rPr>
        <w:t xml:space="preserve"> </w:t>
      </w:r>
      <w:r w:rsidRPr="00743D2A">
        <w:rPr>
          <w:sz w:val="24"/>
          <w:szCs w:val="24"/>
          <w:rtl/>
        </w:rPr>
        <w:t>إن استخلاص النزول عن التقادم بعد ثبوت الحق فيه من عدمه مما يدخل في سلطة قاضي الموضوع ولا معقب عليه في ذلك من محكمة النقض ما دام استخلاصه سائغا - والنزول عنه لا يفترض ولا يؤخذ بالظن</w:t>
      </w:r>
      <w:r w:rsidRPr="00743D2A">
        <w:rPr>
          <w:rFonts w:hint="cs"/>
          <w:sz w:val="24"/>
          <w:szCs w:val="24"/>
          <w:rtl/>
        </w:rPr>
        <w:t xml:space="preserve"> </w:t>
      </w:r>
      <w:r w:rsidRPr="00743D2A">
        <w:rPr>
          <w:sz w:val="24"/>
          <w:szCs w:val="24"/>
          <w:rtl/>
        </w:rPr>
        <w:t xml:space="preserve"> المحكمة </w:t>
      </w:r>
      <w:r>
        <w:rPr>
          <w:sz w:val="24"/>
          <w:szCs w:val="24"/>
          <w:rtl/>
        </w:rPr>
        <w:t>ال</w:t>
      </w:r>
      <w:r>
        <w:rPr>
          <w:rFonts w:hint="cs"/>
          <w:sz w:val="24"/>
          <w:szCs w:val="24"/>
          <w:rtl/>
        </w:rPr>
        <w:t>إ</w:t>
      </w:r>
      <w:r>
        <w:rPr>
          <w:sz w:val="24"/>
          <w:szCs w:val="24"/>
          <w:rtl/>
        </w:rPr>
        <w:t>تحادية</w:t>
      </w:r>
      <w:r w:rsidRPr="00743D2A">
        <w:rPr>
          <w:sz w:val="24"/>
          <w:szCs w:val="24"/>
          <w:rtl/>
        </w:rPr>
        <w:t xml:space="preserve"> العليا - الأحكام المدنية والتجار  -  الطعن رقم  581  -  لسنة  23  قضائية  -  بتاريخ </w:t>
      </w:r>
      <w:r w:rsidRPr="00743D2A">
        <w:rPr>
          <w:rFonts w:hint="cs"/>
          <w:sz w:val="24"/>
          <w:szCs w:val="24"/>
          <w:rtl/>
        </w:rPr>
        <w:t xml:space="preserve">27/6/2004 . موقع شبكة قوانين الشرق  </w:t>
      </w:r>
      <w:r>
        <w:rPr>
          <w:rFonts w:hint="cs"/>
          <w:sz w:val="24"/>
          <w:szCs w:val="24"/>
          <w:rtl/>
        </w:rPr>
        <w:t>-</w:t>
      </w:r>
      <w:r w:rsidRPr="00743D2A">
        <w:rPr>
          <w:rFonts w:hint="cs"/>
          <w:sz w:val="24"/>
          <w:szCs w:val="24"/>
          <w:rtl/>
        </w:rPr>
        <w:t xml:space="preserve">تاريخ الإطلاع 20/11/2016 . </w:t>
      </w:r>
    </w:p>
    <w:p w14:paraId="700E680A" w14:textId="77777777" w:rsidR="006357DC" w:rsidRDefault="006357DC" w:rsidP="006357DC">
      <w:pPr>
        <w:pStyle w:val="FootnoteText"/>
        <w:jc w:val="both"/>
        <w:rPr>
          <w:sz w:val="24"/>
          <w:szCs w:val="24"/>
          <w:rtl/>
        </w:rPr>
      </w:pPr>
    </w:p>
    <w:p w14:paraId="48189FE4" w14:textId="77777777" w:rsidR="006357DC" w:rsidRDefault="006357DC" w:rsidP="006357DC">
      <w:pPr>
        <w:pStyle w:val="FootnoteText"/>
        <w:jc w:val="both"/>
        <w:rPr>
          <w:sz w:val="24"/>
          <w:szCs w:val="24"/>
          <w:rtl/>
        </w:rPr>
      </w:pPr>
    </w:p>
    <w:p w14:paraId="60BB6F15" w14:textId="77777777" w:rsidR="006357DC" w:rsidRDefault="006357DC" w:rsidP="006357DC">
      <w:pPr>
        <w:pStyle w:val="FootnoteText"/>
        <w:jc w:val="both"/>
        <w:rPr>
          <w:sz w:val="24"/>
          <w:szCs w:val="24"/>
          <w:rtl/>
        </w:rPr>
      </w:pPr>
    </w:p>
    <w:p w14:paraId="785AEF6E" w14:textId="77777777" w:rsidR="006357DC" w:rsidRDefault="006357DC" w:rsidP="006357DC">
      <w:pPr>
        <w:pStyle w:val="FootnoteText"/>
        <w:jc w:val="both"/>
        <w:rPr>
          <w:sz w:val="24"/>
          <w:szCs w:val="24"/>
          <w:rtl/>
        </w:rPr>
      </w:pPr>
    </w:p>
    <w:p w14:paraId="477A1679" w14:textId="77777777" w:rsidR="006357DC" w:rsidRDefault="006357DC" w:rsidP="006357DC">
      <w:pPr>
        <w:pStyle w:val="FootnoteText"/>
        <w:jc w:val="both"/>
        <w:rPr>
          <w:sz w:val="24"/>
          <w:szCs w:val="24"/>
          <w:rtl/>
        </w:rPr>
      </w:pPr>
    </w:p>
    <w:p w14:paraId="3724572C" w14:textId="77777777" w:rsidR="006357DC" w:rsidRDefault="006357DC" w:rsidP="006357DC">
      <w:pPr>
        <w:pStyle w:val="FootnoteText"/>
        <w:jc w:val="both"/>
        <w:rPr>
          <w:sz w:val="24"/>
          <w:szCs w:val="24"/>
          <w:rtl/>
        </w:rPr>
      </w:pPr>
    </w:p>
    <w:p w14:paraId="5E1BDCEF" w14:textId="77777777" w:rsidR="006357DC" w:rsidRDefault="006357DC" w:rsidP="006357DC">
      <w:pPr>
        <w:pStyle w:val="FootnoteText"/>
        <w:jc w:val="both"/>
        <w:rPr>
          <w:sz w:val="24"/>
          <w:szCs w:val="24"/>
          <w:rtl/>
        </w:rPr>
      </w:pPr>
    </w:p>
    <w:p w14:paraId="4F899BDA" w14:textId="77777777" w:rsidR="006357DC" w:rsidRDefault="006357DC" w:rsidP="006357DC">
      <w:pPr>
        <w:pStyle w:val="FootnoteText"/>
        <w:jc w:val="both"/>
        <w:rPr>
          <w:sz w:val="24"/>
          <w:szCs w:val="24"/>
          <w:rtl/>
        </w:rPr>
      </w:pPr>
    </w:p>
    <w:p w14:paraId="6A25C214" w14:textId="77777777" w:rsidR="006357DC" w:rsidRDefault="006357DC" w:rsidP="006357DC">
      <w:pPr>
        <w:pStyle w:val="FootnoteText"/>
        <w:jc w:val="both"/>
        <w:rPr>
          <w:sz w:val="24"/>
          <w:szCs w:val="24"/>
          <w:rtl/>
        </w:rPr>
      </w:pPr>
    </w:p>
    <w:p w14:paraId="4506C982" w14:textId="77777777" w:rsidR="006357DC" w:rsidRDefault="006357DC" w:rsidP="006357DC">
      <w:pPr>
        <w:pStyle w:val="FootnoteText"/>
        <w:jc w:val="both"/>
        <w:rPr>
          <w:sz w:val="24"/>
          <w:szCs w:val="24"/>
          <w:rtl/>
        </w:rPr>
      </w:pPr>
    </w:p>
    <w:p w14:paraId="6E2ACF96" w14:textId="77777777" w:rsidR="006357DC" w:rsidRDefault="006357DC" w:rsidP="006357DC">
      <w:pPr>
        <w:pStyle w:val="FootnoteText"/>
        <w:jc w:val="both"/>
        <w:rPr>
          <w:sz w:val="24"/>
          <w:szCs w:val="24"/>
          <w:rtl/>
        </w:rPr>
      </w:pPr>
    </w:p>
    <w:p w14:paraId="4548E66A" w14:textId="77777777" w:rsidR="006357DC" w:rsidRDefault="006357DC" w:rsidP="006357DC">
      <w:pPr>
        <w:pStyle w:val="FootnoteText"/>
        <w:jc w:val="both"/>
        <w:rPr>
          <w:sz w:val="24"/>
          <w:szCs w:val="24"/>
          <w:rtl/>
        </w:rPr>
      </w:pPr>
    </w:p>
    <w:p w14:paraId="0860A252" w14:textId="77777777" w:rsidR="006357DC" w:rsidRDefault="006357DC" w:rsidP="006357DC">
      <w:pPr>
        <w:pStyle w:val="FootnoteText"/>
        <w:jc w:val="both"/>
        <w:rPr>
          <w:sz w:val="24"/>
          <w:szCs w:val="24"/>
          <w:rtl/>
        </w:rPr>
      </w:pPr>
    </w:p>
    <w:p w14:paraId="73405137" w14:textId="77777777" w:rsidR="006357DC" w:rsidRDefault="006357DC" w:rsidP="006357DC">
      <w:pPr>
        <w:pStyle w:val="FootnoteText"/>
        <w:jc w:val="both"/>
        <w:rPr>
          <w:sz w:val="24"/>
          <w:szCs w:val="24"/>
          <w:rtl/>
        </w:rPr>
      </w:pPr>
    </w:p>
    <w:p w14:paraId="00AB0311" w14:textId="670E735D" w:rsidR="006357DC" w:rsidRPr="00743D2A" w:rsidRDefault="006357DC" w:rsidP="006357DC">
      <w:pPr>
        <w:pStyle w:val="FootnoteText"/>
        <w:jc w:val="center"/>
        <w:rPr>
          <w:sz w:val="24"/>
          <w:szCs w:val="24"/>
        </w:rPr>
      </w:pPr>
      <w:r>
        <w:rPr>
          <w:rFonts w:hint="cs"/>
          <w:sz w:val="24"/>
          <w:szCs w:val="24"/>
          <w:rtl/>
        </w:rPr>
        <w:t>132</w:t>
      </w:r>
    </w:p>
  </w:footnote>
  <w:footnote w:id="36">
    <w:p w14:paraId="21436DBD" w14:textId="77777777" w:rsidR="006357DC" w:rsidRPr="00743D2A" w:rsidRDefault="006357DC" w:rsidP="006357DC">
      <w:pPr>
        <w:pStyle w:val="FootnoteText"/>
        <w:jc w:val="both"/>
        <w:rPr>
          <w:rFonts w:ascii="Simplified Arabic" w:hAnsi="Simplified Arabic"/>
          <w:sz w:val="24"/>
          <w:szCs w:val="24"/>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أنور طلبه </w:t>
      </w:r>
      <w:r>
        <w:rPr>
          <w:rFonts w:ascii="Simplified Arabic" w:hAnsi="Simplified Arabic" w:hint="cs"/>
          <w:sz w:val="24"/>
          <w:szCs w:val="24"/>
          <w:rtl/>
        </w:rPr>
        <w:t>:</w:t>
      </w:r>
      <w:r w:rsidRPr="00743D2A">
        <w:rPr>
          <w:rFonts w:ascii="Simplified Arabic" w:hAnsi="Simplified Arabic"/>
          <w:sz w:val="24"/>
          <w:szCs w:val="24"/>
          <w:rtl/>
        </w:rPr>
        <w:t xml:space="preserve"> المطول </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w:t>
      </w:r>
      <w:r w:rsidRPr="00743D2A">
        <w:rPr>
          <w:rFonts w:ascii="Simplified Arabic" w:hAnsi="Simplified Arabic" w:hint="cs"/>
          <w:sz w:val="24"/>
          <w:szCs w:val="24"/>
          <w:rtl/>
        </w:rPr>
        <w:t xml:space="preserve">661 </w:t>
      </w:r>
      <w:r w:rsidRPr="00743D2A">
        <w:rPr>
          <w:rFonts w:ascii="Simplified Arabic" w:hAnsi="Simplified Arabic"/>
          <w:sz w:val="24"/>
          <w:szCs w:val="24"/>
          <w:rtl/>
        </w:rPr>
        <w:t xml:space="preserve">. </w:t>
      </w:r>
    </w:p>
  </w:footnote>
  <w:footnote w:id="37">
    <w:p w14:paraId="32D5A069" w14:textId="77777777" w:rsidR="006357DC" w:rsidRDefault="006357DC" w:rsidP="006357DC">
      <w:pPr>
        <w:pStyle w:val="FootnoteText"/>
        <w:jc w:val="both"/>
        <w:rPr>
          <w:rFonts w:ascii="Simplified Arabic" w:hAnsi="Simplified Arabic"/>
          <w:sz w:val="24"/>
          <w:szCs w:val="24"/>
          <w:rtl/>
        </w:rPr>
      </w:pPr>
      <w:r w:rsidRPr="00743D2A">
        <w:rPr>
          <w:rStyle w:val="FootnoteReference"/>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المذكرة الإيضاحية لقانون المعاملات المدنية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475 . </w:t>
      </w:r>
    </w:p>
    <w:p w14:paraId="06C71C31" w14:textId="77777777" w:rsidR="006357DC" w:rsidRDefault="006357DC" w:rsidP="006357DC">
      <w:pPr>
        <w:pStyle w:val="FootnoteText"/>
        <w:jc w:val="both"/>
        <w:rPr>
          <w:rFonts w:ascii="Simplified Arabic" w:hAnsi="Simplified Arabic"/>
          <w:sz w:val="24"/>
          <w:szCs w:val="24"/>
          <w:rtl/>
        </w:rPr>
      </w:pPr>
    </w:p>
    <w:p w14:paraId="205E97D7" w14:textId="77777777" w:rsidR="006357DC" w:rsidRDefault="006357DC" w:rsidP="006357DC">
      <w:pPr>
        <w:pStyle w:val="FootnoteText"/>
        <w:jc w:val="both"/>
        <w:rPr>
          <w:rFonts w:ascii="Simplified Arabic" w:hAnsi="Simplified Arabic"/>
          <w:sz w:val="24"/>
          <w:szCs w:val="24"/>
          <w:rtl/>
        </w:rPr>
      </w:pPr>
    </w:p>
    <w:p w14:paraId="0EB9EC6F" w14:textId="77777777" w:rsidR="006357DC" w:rsidRDefault="006357DC" w:rsidP="006357DC">
      <w:pPr>
        <w:pStyle w:val="FootnoteText"/>
        <w:jc w:val="both"/>
        <w:rPr>
          <w:rFonts w:ascii="Simplified Arabic" w:hAnsi="Simplified Arabic"/>
          <w:sz w:val="24"/>
          <w:szCs w:val="24"/>
          <w:rtl/>
        </w:rPr>
      </w:pPr>
    </w:p>
    <w:p w14:paraId="35E16012" w14:textId="77777777" w:rsidR="006357DC" w:rsidRDefault="006357DC" w:rsidP="006357DC">
      <w:pPr>
        <w:pStyle w:val="FootnoteText"/>
        <w:jc w:val="both"/>
        <w:rPr>
          <w:rFonts w:ascii="Simplified Arabic" w:hAnsi="Simplified Arabic"/>
          <w:sz w:val="24"/>
          <w:szCs w:val="24"/>
          <w:rtl/>
        </w:rPr>
      </w:pPr>
    </w:p>
    <w:p w14:paraId="0CEB1E9E" w14:textId="77777777" w:rsidR="006357DC" w:rsidRDefault="006357DC" w:rsidP="006357DC">
      <w:pPr>
        <w:pStyle w:val="FootnoteText"/>
        <w:jc w:val="both"/>
        <w:rPr>
          <w:rFonts w:ascii="Simplified Arabic" w:hAnsi="Simplified Arabic"/>
          <w:sz w:val="24"/>
          <w:szCs w:val="24"/>
          <w:rtl/>
        </w:rPr>
      </w:pPr>
    </w:p>
    <w:p w14:paraId="7934F33E" w14:textId="77777777" w:rsidR="006357DC" w:rsidRDefault="006357DC" w:rsidP="006357DC">
      <w:pPr>
        <w:pStyle w:val="FootnoteText"/>
        <w:jc w:val="both"/>
        <w:rPr>
          <w:rFonts w:ascii="Simplified Arabic" w:hAnsi="Simplified Arabic"/>
          <w:sz w:val="24"/>
          <w:szCs w:val="24"/>
          <w:rtl/>
        </w:rPr>
      </w:pPr>
    </w:p>
    <w:p w14:paraId="4F264A87" w14:textId="77777777" w:rsidR="006357DC" w:rsidRDefault="006357DC" w:rsidP="006357DC">
      <w:pPr>
        <w:pStyle w:val="FootnoteText"/>
        <w:jc w:val="both"/>
        <w:rPr>
          <w:rFonts w:ascii="Simplified Arabic" w:hAnsi="Simplified Arabic"/>
          <w:sz w:val="24"/>
          <w:szCs w:val="24"/>
          <w:rtl/>
        </w:rPr>
      </w:pPr>
    </w:p>
    <w:p w14:paraId="7FFC80D6" w14:textId="77777777" w:rsidR="006357DC" w:rsidRDefault="006357DC" w:rsidP="006357DC">
      <w:pPr>
        <w:pStyle w:val="FootnoteText"/>
        <w:jc w:val="both"/>
        <w:rPr>
          <w:rFonts w:ascii="Simplified Arabic" w:hAnsi="Simplified Arabic"/>
          <w:sz w:val="24"/>
          <w:szCs w:val="24"/>
          <w:rtl/>
        </w:rPr>
      </w:pPr>
    </w:p>
    <w:p w14:paraId="1440F25E" w14:textId="77777777" w:rsidR="006357DC" w:rsidRDefault="006357DC" w:rsidP="006357DC">
      <w:pPr>
        <w:pStyle w:val="FootnoteText"/>
        <w:jc w:val="both"/>
        <w:rPr>
          <w:rFonts w:ascii="Simplified Arabic" w:hAnsi="Simplified Arabic"/>
          <w:sz w:val="24"/>
          <w:szCs w:val="24"/>
          <w:rtl/>
        </w:rPr>
      </w:pPr>
    </w:p>
    <w:p w14:paraId="590408C4" w14:textId="77777777" w:rsidR="006357DC" w:rsidRDefault="006357DC" w:rsidP="006357DC">
      <w:pPr>
        <w:pStyle w:val="FootnoteText"/>
        <w:jc w:val="both"/>
        <w:rPr>
          <w:rFonts w:ascii="Simplified Arabic" w:hAnsi="Simplified Arabic"/>
          <w:sz w:val="24"/>
          <w:szCs w:val="24"/>
          <w:rtl/>
        </w:rPr>
      </w:pPr>
    </w:p>
    <w:p w14:paraId="145D8FA1" w14:textId="77777777" w:rsidR="006357DC" w:rsidRDefault="006357DC" w:rsidP="006357DC">
      <w:pPr>
        <w:pStyle w:val="FootnoteText"/>
        <w:jc w:val="both"/>
        <w:rPr>
          <w:rFonts w:ascii="Simplified Arabic" w:hAnsi="Simplified Arabic"/>
          <w:sz w:val="24"/>
          <w:szCs w:val="24"/>
          <w:rtl/>
        </w:rPr>
      </w:pPr>
    </w:p>
    <w:p w14:paraId="2EC4B0B9" w14:textId="77777777" w:rsidR="006357DC" w:rsidRDefault="006357DC" w:rsidP="006357DC">
      <w:pPr>
        <w:pStyle w:val="FootnoteText"/>
        <w:jc w:val="both"/>
        <w:rPr>
          <w:rFonts w:ascii="Simplified Arabic" w:hAnsi="Simplified Arabic"/>
          <w:sz w:val="24"/>
          <w:szCs w:val="24"/>
          <w:rtl/>
        </w:rPr>
      </w:pPr>
    </w:p>
    <w:p w14:paraId="3D49D18A" w14:textId="77777777" w:rsidR="006357DC" w:rsidRDefault="006357DC" w:rsidP="006357DC">
      <w:pPr>
        <w:pStyle w:val="FootnoteText"/>
        <w:jc w:val="both"/>
        <w:rPr>
          <w:rFonts w:ascii="Simplified Arabic" w:hAnsi="Simplified Arabic"/>
          <w:sz w:val="24"/>
          <w:szCs w:val="24"/>
          <w:rtl/>
        </w:rPr>
      </w:pPr>
    </w:p>
    <w:p w14:paraId="3F0F25BD" w14:textId="18BC2BEC" w:rsidR="006357DC" w:rsidRPr="00743D2A" w:rsidRDefault="006357DC" w:rsidP="006357DC">
      <w:pPr>
        <w:pStyle w:val="FootnoteText"/>
        <w:jc w:val="center"/>
        <w:rPr>
          <w:rFonts w:ascii="Simplified Arabic" w:hAnsi="Simplified Arabic"/>
          <w:sz w:val="24"/>
          <w:szCs w:val="24"/>
        </w:rPr>
      </w:pPr>
      <w:r>
        <w:rPr>
          <w:rFonts w:ascii="Simplified Arabic" w:hAnsi="Simplified Arabic" w:hint="cs"/>
          <w:sz w:val="24"/>
          <w:szCs w:val="24"/>
          <w:rtl/>
        </w:rPr>
        <w:t>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2C73" w14:textId="7CB8C25F" w:rsidR="006357DC" w:rsidRDefault="006357DC">
    <w:pPr>
      <w:pStyle w:val="Header"/>
    </w:pPr>
    <w:r>
      <w:rPr>
        <w:noProof/>
      </w:rPr>
      <w:pict w14:anchorId="5705B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342844" o:spid="_x0000_s1026" type="#_x0000_t75" style="position:absolute;margin-left:0;margin-top:0;width:451.05pt;height:451.05pt;z-index:-251657216;mso-position-horizontal:center;mso-position-horizontal-relative:margin;mso-position-vertical:center;mso-position-vertical-relative:margin" o:allowincell="f">
          <v:imagedata r:id="rId1" o:title="K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583C" w14:textId="1064E60F" w:rsidR="006357DC" w:rsidRDefault="006357DC">
    <w:pPr>
      <w:pStyle w:val="Header"/>
    </w:pPr>
    <w:r>
      <w:rPr>
        <w:noProof/>
      </w:rPr>
      <w:pict w14:anchorId="09DA8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342845" o:spid="_x0000_s1027" type="#_x0000_t75" style="position:absolute;margin-left:0;margin-top:0;width:451.05pt;height:451.05pt;z-index:-251656192;mso-position-horizontal:center;mso-position-horizontal-relative:margin;mso-position-vertical:center;mso-position-vertical-relative:margin" o:allowincell="f">
          <v:imagedata r:id="rId1" o:title="K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27AE" w14:textId="0820D611" w:rsidR="006357DC" w:rsidRDefault="006357DC">
    <w:pPr>
      <w:pStyle w:val="Header"/>
    </w:pPr>
    <w:r>
      <w:rPr>
        <w:noProof/>
      </w:rPr>
      <w:pict w14:anchorId="6EC0F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342843" o:spid="_x0000_s1025" type="#_x0000_t75" style="position:absolute;margin-left:0;margin-top:0;width:451.05pt;height:451.05pt;z-index:-251658240;mso-position-horizontal:center;mso-position-horizontal-relative:margin;mso-position-vertical:center;mso-position-vertical-relative:margin" o:allowincell="f">
          <v:imagedata r:id="rId1" o:title="K (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6D"/>
    <w:rsid w:val="001630CC"/>
    <w:rsid w:val="006357DC"/>
    <w:rsid w:val="009E48AF"/>
    <w:rsid w:val="00BC076D"/>
    <w:rsid w:val="00EC0995"/>
    <w:rsid w:val="00F20661"/>
    <w:rsid w:val="00FD5DAB"/>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7C4B6"/>
  <w15:chartTrackingRefBased/>
  <w15:docId w15:val="{D32D19C2-754B-4548-8CA4-5479F5C1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76D"/>
    <w:rPr>
      <w:rFonts w:eastAsiaTheme="majorEastAsia" w:cstheme="majorBidi"/>
      <w:color w:val="272727" w:themeColor="text1" w:themeTint="D8"/>
    </w:rPr>
  </w:style>
  <w:style w:type="paragraph" w:styleId="Title">
    <w:name w:val="Title"/>
    <w:basedOn w:val="Normal"/>
    <w:next w:val="Normal"/>
    <w:link w:val="TitleChar"/>
    <w:uiPriority w:val="10"/>
    <w:qFormat/>
    <w:rsid w:val="00BC0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76D"/>
    <w:pPr>
      <w:spacing w:before="160"/>
      <w:jc w:val="center"/>
    </w:pPr>
    <w:rPr>
      <w:i/>
      <w:iCs/>
      <w:color w:val="404040" w:themeColor="text1" w:themeTint="BF"/>
    </w:rPr>
  </w:style>
  <w:style w:type="character" w:customStyle="1" w:styleId="QuoteChar">
    <w:name w:val="Quote Char"/>
    <w:basedOn w:val="DefaultParagraphFont"/>
    <w:link w:val="Quote"/>
    <w:uiPriority w:val="29"/>
    <w:rsid w:val="00BC076D"/>
    <w:rPr>
      <w:i/>
      <w:iCs/>
      <w:color w:val="404040" w:themeColor="text1" w:themeTint="BF"/>
    </w:rPr>
  </w:style>
  <w:style w:type="paragraph" w:styleId="ListParagraph">
    <w:name w:val="List Paragraph"/>
    <w:basedOn w:val="Normal"/>
    <w:uiPriority w:val="34"/>
    <w:qFormat/>
    <w:rsid w:val="00BC076D"/>
    <w:pPr>
      <w:ind w:left="720"/>
      <w:contextualSpacing/>
    </w:pPr>
  </w:style>
  <w:style w:type="character" w:styleId="IntenseEmphasis">
    <w:name w:val="Intense Emphasis"/>
    <w:basedOn w:val="DefaultParagraphFont"/>
    <w:uiPriority w:val="21"/>
    <w:qFormat/>
    <w:rsid w:val="00BC076D"/>
    <w:rPr>
      <w:i/>
      <w:iCs/>
      <w:color w:val="0F4761" w:themeColor="accent1" w:themeShade="BF"/>
    </w:rPr>
  </w:style>
  <w:style w:type="paragraph" w:styleId="IntenseQuote">
    <w:name w:val="Intense Quote"/>
    <w:basedOn w:val="Normal"/>
    <w:next w:val="Normal"/>
    <w:link w:val="IntenseQuoteChar"/>
    <w:uiPriority w:val="30"/>
    <w:qFormat/>
    <w:rsid w:val="00BC0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76D"/>
    <w:rPr>
      <w:i/>
      <w:iCs/>
      <w:color w:val="0F4761" w:themeColor="accent1" w:themeShade="BF"/>
    </w:rPr>
  </w:style>
  <w:style w:type="character" w:styleId="IntenseReference">
    <w:name w:val="Intense Reference"/>
    <w:basedOn w:val="DefaultParagraphFont"/>
    <w:uiPriority w:val="32"/>
    <w:qFormat/>
    <w:rsid w:val="00BC076D"/>
    <w:rPr>
      <w:b/>
      <w:bCs/>
      <w:smallCaps/>
      <w:color w:val="0F4761" w:themeColor="accent1" w:themeShade="BF"/>
      <w:spacing w:val="5"/>
    </w:rPr>
  </w:style>
  <w:style w:type="paragraph" w:styleId="FootnoteText">
    <w:name w:val="footnote text"/>
    <w:basedOn w:val="Normal"/>
    <w:link w:val="FootnoteTextChar1"/>
    <w:semiHidden/>
    <w:rsid w:val="00BC076D"/>
    <w:pPr>
      <w:bidi/>
      <w:spacing w:after="0" w:line="240" w:lineRule="auto"/>
    </w:pPr>
    <w:rPr>
      <w:rFonts w:ascii="Times New Roman" w:eastAsia="Times New Roman" w:hAnsi="Times New Roman" w:cs="Simplified Arabic"/>
      <w:kern w:val="0"/>
      <w:sz w:val="20"/>
      <w:szCs w:val="20"/>
      <w:lang w:val="fr-FR"/>
      <w14:ligatures w14:val="none"/>
    </w:rPr>
  </w:style>
  <w:style w:type="character" w:customStyle="1" w:styleId="FootnoteTextChar">
    <w:name w:val="Footnote Text Char"/>
    <w:basedOn w:val="DefaultParagraphFont"/>
    <w:uiPriority w:val="99"/>
    <w:semiHidden/>
    <w:rsid w:val="00BC076D"/>
    <w:rPr>
      <w:sz w:val="20"/>
      <w:szCs w:val="20"/>
    </w:rPr>
  </w:style>
  <w:style w:type="character" w:customStyle="1" w:styleId="FootnoteTextChar1">
    <w:name w:val="Footnote Text Char1"/>
    <w:link w:val="FootnoteText"/>
    <w:semiHidden/>
    <w:rsid w:val="00BC076D"/>
    <w:rPr>
      <w:rFonts w:ascii="Times New Roman" w:eastAsia="Times New Roman" w:hAnsi="Times New Roman" w:cs="Simplified Arabic"/>
      <w:kern w:val="0"/>
      <w:sz w:val="20"/>
      <w:szCs w:val="20"/>
      <w:lang w:val="fr-FR"/>
      <w14:ligatures w14:val="none"/>
    </w:rPr>
  </w:style>
  <w:style w:type="character" w:styleId="FootnoteReference">
    <w:name w:val="footnote reference"/>
    <w:semiHidden/>
    <w:rsid w:val="00BC076D"/>
    <w:rPr>
      <w:vertAlign w:val="superscript"/>
    </w:rPr>
  </w:style>
  <w:style w:type="character" w:styleId="Hyperlink">
    <w:name w:val="Hyperlink"/>
    <w:rsid w:val="00BC076D"/>
    <w:rPr>
      <w:color w:val="0000FF"/>
      <w:u w:val="single"/>
    </w:rPr>
  </w:style>
  <w:style w:type="character" w:customStyle="1" w:styleId="BalloonTextChar">
    <w:name w:val="Balloon Text Char"/>
    <w:basedOn w:val="DefaultParagraphFont"/>
    <w:semiHidden/>
    <w:rsid w:val="006357DC"/>
    <w:rPr>
      <w:rFonts w:ascii="Tahoma" w:hAnsi="Tahoma" w:cs="Tahoma"/>
      <w:sz w:val="16"/>
      <w:szCs w:val="16"/>
    </w:rPr>
  </w:style>
  <w:style w:type="paragraph" w:styleId="Header">
    <w:name w:val="header"/>
    <w:basedOn w:val="Normal"/>
    <w:link w:val="HeaderChar"/>
    <w:uiPriority w:val="99"/>
    <w:unhideWhenUsed/>
    <w:rsid w:val="00635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7DC"/>
  </w:style>
  <w:style w:type="paragraph" w:styleId="Footer">
    <w:name w:val="footer"/>
    <w:basedOn w:val="Normal"/>
    <w:link w:val="FooterChar"/>
    <w:uiPriority w:val="99"/>
    <w:unhideWhenUsed/>
    <w:rsid w:val="00635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ite.eastlaws.com" TargetMode="External"/><Relationship Id="rId2" Type="http://schemas.openxmlformats.org/officeDocument/2006/relationships/hyperlink" Target="http://site.eastlaws.com" TargetMode="External"/><Relationship Id="rId1" Type="http://schemas.openxmlformats.org/officeDocument/2006/relationships/hyperlink" Target="http://www.dubaicou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25</Pages>
  <Words>3756</Words>
  <Characters>21411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dc:creator>
  <cp:keywords/>
  <dc:description/>
  <cp:lastModifiedBy>Mohamed Ahmed</cp:lastModifiedBy>
  <cp:revision>1</cp:revision>
  <dcterms:created xsi:type="dcterms:W3CDTF">2025-09-09T11:46:00Z</dcterms:created>
  <dcterms:modified xsi:type="dcterms:W3CDTF">2025-09-09T12:03:00Z</dcterms:modified>
</cp:coreProperties>
</file>